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267575"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12"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SECURITIES AND EXCHANGE COMMISSION</w:t>
      </w:r>
    </w:p>
    <w:p>
      <w:pPr>
        <w:spacing w:after="0" w:line="2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Washington, D.C. 20549</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auto"/>
        </w:rPr>
        <w:t>Form 10-K</w:t>
      </w:r>
    </w:p>
    <w:p>
      <w:pPr>
        <w:spacing w:after="0" w:line="174" w:lineRule="exact"/>
        <w:rPr>
          <w:sz w:val="20"/>
          <w:szCs w:val="20"/>
          <w:color w:val="auto"/>
        </w:rPr>
      </w:pPr>
    </w:p>
    <w:p>
      <w:pPr>
        <w:ind w:left="5"/>
        <w:spacing w:after="0" w:line="191" w:lineRule="exact"/>
        <w:rPr>
          <w:sz w:val="20"/>
          <w:szCs w:val="20"/>
          <w:color w:val="auto"/>
        </w:rPr>
      </w:pPr>
      <w:r>
        <w:rPr>
          <w:rFonts w:ascii="MS PGothic" w:cs="MS PGothic" w:eastAsia="MS PGothic" w:hAnsi="MS PGothic"/>
          <w:sz w:val="19"/>
          <w:szCs w:val="19"/>
          <w:color w:val="auto"/>
          <w:highlight w:val="black"/>
        </w:rPr>
        <w:t>☑</w:t>
      </w:r>
    </w:p>
    <w:p>
      <w:pPr>
        <w:spacing w:after="0" w:line="245"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ANNUAL REPORT PURSUANT TO SECTION 13 OR 15(d)</w:t>
      </w:r>
    </w:p>
    <w:p>
      <w:pPr>
        <w:spacing w:after="0" w:line="1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7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For the fiscal year ended December 31, 2003</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OR</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o</w:t>
      </w:r>
    </w:p>
    <w:p>
      <w:pPr>
        <w:spacing w:after="0" w:line="18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TRANSITION REPORT PURSUANT TO SECTION 13 OR 15(d) OF</w:t>
      </w:r>
    </w:p>
    <w:p>
      <w:pPr>
        <w:spacing w:after="0" w:line="30"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THE SECURITIES EXCHANGE ACT OF 1934</w:t>
      </w:r>
    </w:p>
    <w:p>
      <w:pPr>
        <w:sectPr>
          <w:pgSz w:w="11900" w:h="16838" w:orient="portrait"/>
          <w:cols w:equalWidth="0" w:num="1">
            <w:col w:w="11445"/>
          </w:cols>
          <w:pgMar w:left="235" w:top="123" w:right="219" w:bottom="1440" w:gutter="0" w:footer="0" w:header="0"/>
        </w:sectPr>
      </w:pPr>
    </w:p>
    <w:p>
      <w:pPr>
        <w:spacing w:after="0" w:line="177" w:lineRule="exact"/>
        <w:rPr>
          <w:sz w:val="20"/>
          <w:szCs w:val="20"/>
          <w:color w:val="auto"/>
        </w:rPr>
      </w:pPr>
    </w:p>
    <w:p>
      <w:pPr>
        <w:ind w:left="3845"/>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0"/>
          <w:szCs w:val="20"/>
          <w:color w:val="auto"/>
        </w:rPr>
      </w:pPr>
    </w:p>
    <w:p>
      <w:pPr>
        <w:sectPr>
          <w:pgSz w:w="11900" w:h="16838" w:orient="portrait"/>
          <w:cols w:equalWidth="0" w:num="2">
            <w:col w:w="5945" w:space="720"/>
            <w:col w:w="4780"/>
          </w:cols>
          <w:pgMar w:left="235" w:top="123" w:right="219" w:bottom="1440" w:gutter="0" w:footer="0" w:header="0"/>
          <w:type w:val="continuous"/>
        </w:sectPr>
      </w:pP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Commission File Number 001-15149</w:t>
      </w:r>
    </w:p>
    <w:p>
      <w:pPr>
        <w:sectPr>
          <w:pgSz w:w="11900" w:h="16838" w:orient="portrait"/>
          <w:cols w:equalWidth="0" w:num="1">
            <w:col w:w="11445"/>
          </w:cols>
          <w:pgMar w:left="235" w:top="123" w:right="219" w:bottom="1440" w:gutter="0" w:footer="0" w:header="0"/>
          <w:type w:val="continuous"/>
        </w:sectPr>
      </w:pPr>
    </w:p>
    <w:p>
      <w:pPr>
        <w:spacing w:after="0" w:line="197" w:lineRule="exact"/>
        <w:rPr>
          <w:sz w:val="20"/>
          <w:szCs w:val="20"/>
          <w:color w:val="auto"/>
        </w:rPr>
      </w:pPr>
    </w:p>
    <w:p>
      <w:pPr>
        <w:jc w:val="center"/>
        <w:ind w:right="-4"/>
        <w:spacing w:after="0"/>
        <w:rPr>
          <w:sz w:val="20"/>
          <w:szCs w:val="20"/>
          <w:color w:val="auto"/>
        </w:rPr>
      </w:pPr>
      <w:r>
        <w:rPr>
          <w:rFonts w:ascii="Arial" w:cs="Arial" w:eastAsia="Arial" w:hAnsi="Arial"/>
          <w:sz w:val="29"/>
          <w:szCs w:val="29"/>
          <w:b w:val="1"/>
          <w:bCs w:val="1"/>
          <w:color w:val="auto"/>
        </w:rPr>
        <w:t>Lennox International Inc.</w:t>
      </w:r>
    </w:p>
    <w:p>
      <w:pPr>
        <w:spacing w:after="0" w:line="209" w:lineRule="exact"/>
        <w:rPr>
          <w:sz w:val="20"/>
          <w:szCs w:val="20"/>
          <w:color w:val="auto"/>
        </w:rPr>
      </w:pPr>
    </w:p>
    <w:tbl>
      <w:tblPr>
        <w:tblLayout w:type="fixed"/>
        <w:tblInd w:w="5" w:type="dxa"/>
        <w:tblCellMar>
          <w:top w:w="0" w:type="dxa"/>
          <w:left w:w="0" w:type="dxa"/>
          <w:bottom w:w="0" w:type="dxa"/>
          <w:right w:w="0" w:type="dxa"/>
        </w:tblCellMar>
      </w:tblPr>
      <w:tr>
        <w:trPr>
          <w:trHeight w:val="196"/>
        </w:trPr>
        <w:tc>
          <w:tcPr>
            <w:tcW w:w="8040" w:type="dxa"/>
            <w:vAlign w:val="bottom"/>
            <w:gridSpan w:val="3"/>
          </w:tcPr>
          <w:p>
            <w:pPr>
              <w:jc w:val="center"/>
              <w:ind w:left="3304"/>
              <w:spacing w:after="0"/>
              <w:rPr>
                <w:sz w:val="20"/>
                <w:szCs w:val="20"/>
                <w:color w:val="auto"/>
              </w:rPr>
            </w:pPr>
            <w:r>
              <w:rPr>
                <w:rFonts w:ascii="Arial" w:cs="Arial" w:eastAsia="Arial" w:hAnsi="Arial"/>
                <w:sz w:val="16"/>
                <w:szCs w:val="16"/>
                <w:color w:val="auto"/>
                <w:w w:val="87"/>
              </w:rPr>
              <w:t>(Exact name of Registrant as specified in its charter)</w:t>
            </w:r>
          </w:p>
        </w:tc>
        <w:tc>
          <w:tcPr>
            <w:tcW w:w="3400" w:type="dxa"/>
            <w:vAlign w:val="bottom"/>
          </w:tcPr>
          <w:p>
            <w:pPr>
              <w:spacing w:after="0"/>
              <w:rPr>
                <w:sz w:val="17"/>
                <w:szCs w:val="17"/>
                <w:color w:val="auto"/>
              </w:rPr>
            </w:pPr>
          </w:p>
        </w:tc>
      </w:tr>
      <w:tr>
        <w:trPr>
          <w:trHeight w:val="376"/>
        </w:trPr>
        <w:tc>
          <w:tcPr>
            <w:tcW w:w="8040" w:type="dxa"/>
            <w:vAlign w:val="bottom"/>
            <w:gridSpan w:val="3"/>
          </w:tcPr>
          <w:p>
            <w:pPr>
              <w:ind w:left="2900"/>
              <w:spacing w:after="0"/>
              <w:rPr>
                <w:sz w:val="20"/>
                <w:szCs w:val="20"/>
                <w:color w:val="auto"/>
              </w:rPr>
            </w:pPr>
            <w:r>
              <w:rPr>
                <w:rFonts w:ascii="Arial" w:cs="Arial" w:eastAsia="Arial" w:hAnsi="Arial"/>
                <w:sz w:val="16"/>
                <w:szCs w:val="16"/>
                <w:b w:val="1"/>
                <w:bCs w:val="1"/>
                <w:color w:val="auto"/>
              </w:rPr>
              <w:t>Delaware</w:t>
            </w:r>
          </w:p>
        </w:tc>
        <w:tc>
          <w:tcPr>
            <w:tcW w:w="3400" w:type="dxa"/>
            <w:vAlign w:val="bottom"/>
          </w:tcPr>
          <w:p>
            <w:pPr>
              <w:jc w:val="center"/>
              <w:ind w:right="1228"/>
              <w:spacing w:after="0"/>
              <w:rPr>
                <w:sz w:val="20"/>
                <w:szCs w:val="20"/>
                <w:color w:val="auto"/>
              </w:rPr>
            </w:pPr>
            <w:r>
              <w:rPr>
                <w:rFonts w:ascii="Arial" w:cs="Arial" w:eastAsia="Arial" w:hAnsi="Arial"/>
                <w:sz w:val="16"/>
                <w:szCs w:val="16"/>
                <w:b w:val="1"/>
                <w:bCs w:val="1"/>
                <w:color w:val="auto"/>
                <w:w w:val="86"/>
              </w:rPr>
              <w:t>42-0991521</w:t>
            </w:r>
          </w:p>
        </w:tc>
      </w:tr>
      <w:tr>
        <w:trPr>
          <w:trHeight w:val="191"/>
        </w:trPr>
        <w:tc>
          <w:tcPr>
            <w:tcW w:w="8040" w:type="dxa"/>
            <w:vAlign w:val="bottom"/>
            <w:gridSpan w:val="3"/>
          </w:tcPr>
          <w:p>
            <w:pPr>
              <w:jc w:val="center"/>
              <w:ind w:right="1520"/>
              <w:spacing w:after="0"/>
              <w:rPr>
                <w:sz w:val="20"/>
                <w:szCs w:val="20"/>
                <w:color w:val="auto"/>
              </w:rPr>
            </w:pPr>
            <w:r>
              <w:rPr>
                <w:rFonts w:ascii="Arial" w:cs="Arial" w:eastAsia="Arial" w:hAnsi="Arial"/>
                <w:sz w:val="16"/>
                <w:szCs w:val="16"/>
                <w:color w:val="auto"/>
                <w:w w:val="89"/>
              </w:rPr>
              <w:t>(State or other jurisdiction of</w:t>
            </w:r>
          </w:p>
        </w:tc>
        <w:tc>
          <w:tcPr>
            <w:tcW w:w="3400" w:type="dxa"/>
            <w:vAlign w:val="bottom"/>
          </w:tcPr>
          <w:p>
            <w:pPr>
              <w:jc w:val="center"/>
              <w:ind w:right="1228"/>
              <w:spacing w:after="0"/>
              <w:rPr>
                <w:sz w:val="20"/>
                <w:szCs w:val="20"/>
                <w:color w:val="auto"/>
              </w:rPr>
            </w:pPr>
            <w:r>
              <w:rPr>
                <w:rFonts w:ascii="Arial" w:cs="Arial" w:eastAsia="Arial" w:hAnsi="Arial"/>
                <w:sz w:val="16"/>
                <w:szCs w:val="16"/>
                <w:color w:val="auto"/>
                <w:w w:val="90"/>
              </w:rPr>
              <w:t>(I.R.S. Employer</w:t>
            </w:r>
          </w:p>
        </w:tc>
      </w:tr>
      <w:tr>
        <w:trPr>
          <w:trHeight w:val="196"/>
        </w:trPr>
        <w:tc>
          <w:tcPr>
            <w:tcW w:w="8040" w:type="dxa"/>
            <w:vAlign w:val="bottom"/>
            <w:gridSpan w:val="3"/>
          </w:tcPr>
          <w:p>
            <w:pPr>
              <w:jc w:val="center"/>
              <w:ind w:right="1500"/>
              <w:spacing w:after="0"/>
              <w:rPr>
                <w:sz w:val="20"/>
                <w:szCs w:val="20"/>
                <w:color w:val="auto"/>
              </w:rPr>
            </w:pPr>
            <w:r>
              <w:rPr>
                <w:rFonts w:ascii="Arial" w:cs="Arial" w:eastAsia="Arial" w:hAnsi="Arial"/>
                <w:sz w:val="16"/>
                <w:szCs w:val="16"/>
                <w:color w:val="auto"/>
                <w:w w:val="89"/>
              </w:rPr>
              <w:t>incorporation or organization)</w:t>
            </w:r>
          </w:p>
        </w:tc>
        <w:tc>
          <w:tcPr>
            <w:tcW w:w="3400" w:type="dxa"/>
            <w:vAlign w:val="bottom"/>
          </w:tcPr>
          <w:p>
            <w:pPr>
              <w:jc w:val="center"/>
              <w:ind w:right="1228"/>
              <w:spacing w:after="0"/>
              <w:rPr>
                <w:sz w:val="20"/>
                <w:szCs w:val="20"/>
                <w:color w:val="auto"/>
              </w:rPr>
            </w:pPr>
            <w:r>
              <w:rPr>
                <w:rFonts w:ascii="Arial" w:cs="Arial" w:eastAsia="Arial" w:hAnsi="Arial"/>
                <w:sz w:val="16"/>
                <w:szCs w:val="16"/>
                <w:color w:val="auto"/>
                <w:w w:val="90"/>
              </w:rPr>
              <w:t>Identification Number)</w:t>
            </w:r>
          </w:p>
        </w:tc>
      </w:tr>
      <w:tr>
        <w:trPr>
          <w:trHeight w:val="382"/>
        </w:trPr>
        <w:tc>
          <w:tcPr>
            <w:tcW w:w="8040" w:type="dxa"/>
            <w:vAlign w:val="bottom"/>
            <w:gridSpan w:val="3"/>
          </w:tcPr>
          <w:p>
            <w:pPr>
              <w:jc w:val="center"/>
              <w:ind w:left="3324"/>
              <w:spacing w:after="0"/>
              <w:rPr>
                <w:sz w:val="20"/>
                <w:szCs w:val="20"/>
                <w:color w:val="auto"/>
              </w:rPr>
            </w:pPr>
            <w:r>
              <w:rPr>
                <w:rFonts w:ascii="Arial" w:cs="Arial" w:eastAsia="Arial" w:hAnsi="Arial"/>
                <w:sz w:val="16"/>
                <w:szCs w:val="16"/>
                <w:b w:val="1"/>
                <w:bCs w:val="1"/>
                <w:color w:val="auto"/>
                <w:w w:val="90"/>
              </w:rPr>
              <w:t>2140 Lake Park Blvd.</w:t>
            </w:r>
          </w:p>
        </w:tc>
        <w:tc>
          <w:tcPr>
            <w:tcW w:w="3400" w:type="dxa"/>
            <w:vAlign w:val="bottom"/>
          </w:tcPr>
          <w:p>
            <w:pPr>
              <w:spacing w:after="0"/>
              <w:rPr>
                <w:sz w:val="24"/>
                <w:szCs w:val="24"/>
                <w:color w:val="auto"/>
              </w:rPr>
            </w:pPr>
          </w:p>
        </w:tc>
      </w:tr>
      <w:tr>
        <w:trPr>
          <w:trHeight w:val="376"/>
        </w:trPr>
        <w:tc>
          <w:tcPr>
            <w:tcW w:w="8040" w:type="dxa"/>
            <w:vAlign w:val="bottom"/>
            <w:gridSpan w:val="3"/>
          </w:tcPr>
          <w:p>
            <w:pPr>
              <w:jc w:val="center"/>
              <w:ind w:left="3324"/>
              <w:spacing w:after="0"/>
              <w:rPr>
                <w:sz w:val="20"/>
                <w:szCs w:val="20"/>
                <w:color w:val="auto"/>
              </w:rPr>
            </w:pPr>
            <w:r>
              <w:rPr>
                <w:rFonts w:ascii="Arial" w:cs="Arial" w:eastAsia="Arial" w:hAnsi="Arial"/>
                <w:sz w:val="16"/>
                <w:szCs w:val="16"/>
                <w:b w:val="1"/>
                <w:bCs w:val="1"/>
                <w:color w:val="auto"/>
                <w:w w:val="85"/>
              </w:rPr>
              <w:t>Richardson, Texas 75080</w:t>
            </w:r>
          </w:p>
        </w:tc>
        <w:tc>
          <w:tcPr>
            <w:tcW w:w="3400" w:type="dxa"/>
            <w:vAlign w:val="bottom"/>
          </w:tcPr>
          <w:p>
            <w:pPr>
              <w:spacing w:after="0"/>
              <w:rPr>
                <w:sz w:val="24"/>
                <w:szCs w:val="24"/>
                <w:color w:val="auto"/>
              </w:rPr>
            </w:pPr>
          </w:p>
        </w:tc>
      </w:tr>
      <w:tr>
        <w:trPr>
          <w:trHeight w:val="196"/>
        </w:trPr>
        <w:tc>
          <w:tcPr>
            <w:tcW w:w="8040" w:type="dxa"/>
            <w:vAlign w:val="bottom"/>
            <w:gridSpan w:val="3"/>
          </w:tcPr>
          <w:p>
            <w:pPr>
              <w:jc w:val="center"/>
              <w:ind w:left="3324"/>
              <w:spacing w:after="0"/>
              <w:rPr>
                <w:sz w:val="20"/>
                <w:szCs w:val="20"/>
                <w:color w:val="auto"/>
              </w:rPr>
            </w:pPr>
            <w:r>
              <w:rPr>
                <w:rFonts w:ascii="Arial" w:cs="Arial" w:eastAsia="Arial" w:hAnsi="Arial"/>
                <w:sz w:val="16"/>
                <w:szCs w:val="16"/>
                <w:color w:val="auto"/>
                <w:w w:val="89"/>
              </w:rPr>
              <w:t>(Address of principal executive offices, including zip code)</w:t>
            </w:r>
          </w:p>
        </w:tc>
        <w:tc>
          <w:tcPr>
            <w:tcW w:w="3400" w:type="dxa"/>
            <w:vAlign w:val="bottom"/>
          </w:tcPr>
          <w:p>
            <w:pPr>
              <w:spacing w:after="0"/>
              <w:rPr>
                <w:sz w:val="17"/>
                <w:szCs w:val="17"/>
                <w:color w:val="auto"/>
              </w:rPr>
            </w:pPr>
          </w:p>
        </w:tc>
      </w:tr>
      <w:tr>
        <w:trPr>
          <w:trHeight w:val="382"/>
        </w:trPr>
        <w:tc>
          <w:tcPr>
            <w:tcW w:w="8040" w:type="dxa"/>
            <w:vAlign w:val="bottom"/>
            <w:gridSpan w:val="3"/>
          </w:tcPr>
          <w:p>
            <w:pPr>
              <w:jc w:val="center"/>
              <w:ind w:left="3304"/>
              <w:spacing w:after="0"/>
              <w:rPr>
                <w:sz w:val="20"/>
                <w:szCs w:val="20"/>
                <w:color w:val="auto"/>
              </w:rPr>
            </w:pPr>
            <w:r>
              <w:rPr>
                <w:rFonts w:ascii="Arial" w:cs="Arial" w:eastAsia="Arial" w:hAnsi="Arial"/>
                <w:sz w:val="16"/>
                <w:szCs w:val="16"/>
                <w:color w:val="auto"/>
                <w:w w:val="87"/>
              </w:rPr>
              <w:t xml:space="preserve">(Registrant’s telephone number, including area code): </w:t>
            </w:r>
            <w:r>
              <w:rPr>
                <w:rFonts w:ascii="Arial" w:cs="Arial" w:eastAsia="Arial" w:hAnsi="Arial"/>
                <w:sz w:val="16"/>
                <w:szCs w:val="16"/>
                <w:b w:val="1"/>
                <w:bCs w:val="1"/>
                <w:color w:val="auto"/>
                <w:w w:val="87"/>
              </w:rPr>
              <w:t>(972) 497-5000</w:t>
            </w:r>
          </w:p>
        </w:tc>
        <w:tc>
          <w:tcPr>
            <w:tcW w:w="3400" w:type="dxa"/>
            <w:vAlign w:val="bottom"/>
          </w:tcPr>
          <w:p>
            <w:pPr>
              <w:spacing w:after="0"/>
              <w:rPr>
                <w:sz w:val="24"/>
                <w:szCs w:val="24"/>
                <w:color w:val="auto"/>
              </w:rPr>
            </w:pPr>
          </w:p>
        </w:tc>
      </w:tr>
      <w:tr>
        <w:trPr>
          <w:trHeight w:val="382"/>
        </w:trPr>
        <w:tc>
          <w:tcPr>
            <w:tcW w:w="8040" w:type="dxa"/>
            <w:vAlign w:val="bottom"/>
            <w:gridSpan w:val="3"/>
          </w:tcPr>
          <w:p>
            <w:pPr>
              <w:jc w:val="center"/>
              <w:ind w:left="3324"/>
              <w:spacing w:after="0"/>
              <w:rPr>
                <w:sz w:val="20"/>
                <w:szCs w:val="20"/>
                <w:color w:val="auto"/>
              </w:rPr>
            </w:pPr>
            <w:r>
              <w:rPr>
                <w:rFonts w:ascii="Arial" w:cs="Arial" w:eastAsia="Arial" w:hAnsi="Arial"/>
                <w:sz w:val="16"/>
                <w:szCs w:val="16"/>
                <w:color w:val="auto"/>
                <w:w w:val="87"/>
              </w:rPr>
              <w:t>Securities Registered Pursuant to Section 12(b) of the Act:</w:t>
            </w:r>
          </w:p>
        </w:tc>
        <w:tc>
          <w:tcPr>
            <w:tcW w:w="3400" w:type="dxa"/>
            <w:vAlign w:val="bottom"/>
          </w:tcPr>
          <w:p>
            <w:pPr>
              <w:spacing w:after="0"/>
              <w:rPr>
                <w:sz w:val="24"/>
                <w:szCs w:val="24"/>
                <w:color w:val="auto"/>
              </w:rPr>
            </w:pPr>
          </w:p>
        </w:tc>
      </w:tr>
      <w:tr>
        <w:trPr>
          <w:trHeight w:val="504"/>
        </w:trPr>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0" w:type="dxa"/>
            <w:vAlign w:val="bottom"/>
          </w:tcPr>
          <w:p>
            <w:pPr>
              <w:jc w:val="center"/>
              <w:ind w:right="1328"/>
              <w:spacing w:after="0"/>
              <w:rPr>
                <w:sz w:val="20"/>
                <w:szCs w:val="20"/>
                <w:color w:val="auto"/>
              </w:rPr>
            </w:pPr>
            <w:r>
              <w:rPr>
                <w:rFonts w:ascii="Arial" w:cs="Arial" w:eastAsia="Arial" w:hAnsi="Arial"/>
                <w:sz w:val="12"/>
                <w:szCs w:val="12"/>
                <w:b w:val="1"/>
                <w:bCs w:val="1"/>
                <w:color w:val="auto"/>
                <w:w w:val="87"/>
              </w:rPr>
              <w:t>Name of each exchange</w:t>
            </w:r>
          </w:p>
        </w:tc>
      </w:tr>
      <w:tr>
        <w:trPr>
          <w:trHeight w:val="154"/>
        </w:trPr>
        <w:tc>
          <w:tcPr>
            <w:tcW w:w="804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7"/>
              </w:rPr>
              <w:t>Title of each class</w:t>
            </w:r>
          </w:p>
        </w:tc>
        <w:tc>
          <w:tcPr>
            <w:tcW w:w="3400" w:type="dxa"/>
            <w:vAlign w:val="bottom"/>
          </w:tcPr>
          <w:p>
            <w:pPr>
              <w:jc w:val="center"/>
              <w:ind w:right="1328"/>
              <w:spacing w:after="0"/>
              <w:rPr>
                <w:sz w:val="20"/>
                <w:szCs w:val="20"/>
                <w:color w:val="auto"/>
              </w:rPr>
            </w:pPr>
            <w:r>
              <w:rPr>
                <w:rFonts w:ascii="Arial" w:cs="Arial" w:eastAsia="Arial" w:hAnsi="Arial"/>
                <w:sz w:val="12"/>
                <w:szCs w:val="12"/>
                <w:b w:val="1"/>
                <w:bCs w:val="1"/>
                <w:color w:val="auto"/>
                <w:w w:val="88"/>
              </w:rPr>
              <w:t>on which registered</w:t>
            </w:r>
          </w:p>
        </w:tc>
      </w:tr>
      <w:tr>
        <w:trPr>
          <w:trHeight w:val="83"/>
        </w:trPr>
        <w:tc>
          <w:tcPr>
            <w:tcW w:w="6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3400" w:type="dxa"/>
            <w:vAlign w:val="bottom"/>
            <w:tcBorders>
              <w:bottom w:val="single" w:sz="8" w:color="808080"/>
            </w:tcBorders>
          </w:tcPr>
          <w:p>
            <w:pPr>
              <w:spacing w:after="0"/>
              <w:rPr>
                <w:sz w:val="7"/>
                <w:szCs w:val="7"/>
                <w:color w:val="auto"/>
              </w:rPr>
            </w:pPr>
          </w:p>
        </w:tc>
      </w:tr>
      <w:tr>
        <w:trPr>
          <w:trHeight w:val="276"/>
        </w:trPr>
        <w:tc>
          <w:tcPr>
            <w:tcW w:w="8040" w:type="dxa"/>
            <w:vAlign w:val="bottom"/>
            <w:gridSpan w:val="3"/>
          </w:tcPr>
          <w:p>
            <w:pPr>
              <w:jc w:val="center"/>
              <w:ind w:right="1740"/>
              <w:spacing w:after="0"/>
              <w:rPr>
                <w:sz w:val="20"/>
                <w:szCs w:val="20"/>
                <w:color w:val="auto"/>
              </w:rPr>
            </w:pPr>
            <w:r>
              <w:rPr>
                <w:rFonts w:ascii="Arial" w:cs="Arial" w:eastAsia="Arial" w:hAnsi="Arial"/>
                <w:sz w:val="16"/>
                <w:szCs w:val="16"/>
                <w:color w:val="auto"/>
                <w:w w:val="87"/>
              </w:rPr>
              <w:t>Common Stock, $.01 par value per share</w:t>
            </w:r>
          </w:p>
        </w:tc>
        <w:tc>
          <w:tcPr>
            <w:tcW w:w="3400" w:type="dxa"/>
            <w:vAlign w:val="bottom"/>
          </w:tcPr>
          <w:p>
            <w:pPr>
              <w:jc w:val="center"/>
              <w:ind w:right="1328"/>
              <w:spacing w:after="0"/>
              <w:rPr>
                <w:sz w:val="20"/>
                <w:szCs w:val="20"/>
                <w:color w:val="auto"/>
              </w:rPr>
            </w:pPr>
            <w:r>
              <w:rPr>
                <w:rFonts w:ascii="Arial" w:cs="Arial" w:eastAsia="Arial" w:hAnsi="Arial"/>
                <w:sz w:val="16"/>
                <w:szCs w:val="16"/>
                <w:color w:val="auto"/>
                <w:w w:val="88"/>
              </w:rPr>
              <w:t>New York Stock Exchange</w:t>
            </w:r>
          </w:p>
        </w:tc>
      </w:tr>
      <w:tr>
        <w:trPr>
          <w:trHeight w:val="382"/>
        </w:trPr>
        <w:tc>
          <w:tcPr>
            <w:tcW w:w="8040" w:type="dxa"/>
            <w:vAlign w:val="bottom"/>
            <w:gridSpan w:val="3"/>
          </w:tcPr>
          <w:p>
            <w:pPr>
              <w:jc w:val="center"/>
              <w:ind w:left="3304"/>
              <w:spacing w:after="0"/>
              <w:rPr>
                <w:sz w:val="20"/>
                <w:szCs w:val="20"/>
                <w:color w:val="auto"/>
              </w:rPr>
            </w:pPr>
            <w:r>
              <w:rPr>
                <w:rFonts w:ascii="Arial" w:cs="Arial" w:eastAsia="Arial" w:hAnsi="Arial"/>
                <w:sz w:val="16"/>
                <w:szCs w:val="16"/>
                <w:color w:val="auto"/>
                <w:w w:val="87"/>
              </w:rPr>
              <w:t xml:space="preserve">Securities Registered Pursuant to Section 12(g) of the Act: </w:t>
            </w:r>
            <w:r>
              <w:rPr>
                <w:rFonts w:ascii="Arial" w:cs="Arial" w:eastAsia="Arial" w:hAnsi="Arial"/>
                <w:sz w:val="16"/>
                <w:szCs w:val="16"/>
                <w:b w:val="1"/>
                <w:bCs w:val="1"/>
                <w:color w:val="auto"/>
                <w:w w:val="87"/>
              </w:rPr>
              <w:t>None</w:t>
            </w:r>
          </w:p>
        </w:tc>
        <w:tc>
          <w:tcPr>
            <w:tcW w:w="3400" w:type="dxa"/>
            <w:vAlign w:val="bottom"/>
          </w:tcPr>
          <w:p>
            <w:pPr>
              <w:spacing w:after="0"/>
              <w:rPr>
                <w:sz w:val="24"/>
                <w:szCs w:val="24"/>
                <w:color w:val="auto"/>
              </w:rPr>
            </w:pPr>
          </w:p>
        </w:tc>
      </w:tr>
    </w:tbl>
    <w:p>
      <w:pPr>
        <w:spacing w:after="0" w:line="185" w:lineRule="exact"/>
        <w:rPr>
          <w:sz w:val="20"/>
          <w:szCs w:val="20"/>
          <w:color w:val="auto"/>
        </w:rPr>
      </w:pPr>
    </w:p>
    <w:p>
      <w:pPr>
        <w:ind w:left="5" w:right="300" w:firstLine="388"/>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last 90 days. Yes o No </w:t>
      </w:r>
      <w:r>
        <w:rPr>
          <w:rFonts w:ascii="MS PGothic" w:cs="MS PGothic" w:eastAsia="MS PGothic" w:hAnsi="MS PGothic"/>
          <w:sz w:val="14"/>
          <w:szCs w:val="14"/>
          <w:color w:val="auto"/>
        </w:rPr>
        <w:t>☑</w:t>
      </w:r>
    </w:p>
    <w:p>
      <w:pPr>
        <w:spacing w:after="0" w:line="169" w:lineRule="exact"/>
        <w:rPr>
          <w:sz w:val="20"/>
          <w:szCs w:val="20"/>
          <w:color w:val="auto"/>
        </w:rPr>
      </w:pPr>
    </w:p>
    <w:p>
      <w:pPr>
        <w:ind w:left="5" w:right="380" w:firstLine="388"/>
        <w:spacing w:after="0" w:line="33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92" w:lineRule="exact"/>
        <w:rPr>
          <w:sz w:val="20"/>
          <w:szCs w:val="20"/>
          <w:color w:val="auto"/>
        </w:rPr>
      </w:pPr>
    </w:p>
    <w:p>
      <w:pPr>
        <w:ind w:left="385"/>
        <w:spacing w:after="0" w:line="184" w:lineRule="exact"/>
        <w:tabs>
          <w:tab w:leader="none" w:pos="7204" w:val="left"/>
          <w:tab w:leader="none" w:pos="7764" w:val="left"/>
        </w:tabs>
        <w:rPr>
          <w:sz w:val="20"/>
          <w:szCs w:val="20"/>
          <w:color w:val="auto"/>
        </w:rPr>
      </w:pPr>
      <w:r>
        <w:rPr>
          <w:rFonts w:ascii="Arial" w:cs="Arial" w:eastAsia="Arial" w:hAnsi="Arial"/>
          <w:sz w:val="14"/>
          <w:szCs w:val="14"/>
          <w:color w:val="auto"/>
        </w:rPr>
        <w:t>Indicate by check mark whether the registrant is accelerated filer (as defined in Rule 12b-2 of the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sz w:val="20"/>
          <w:szCs w:val="20"/>
          <w:color w:val="auto"/>
        </w:rPr>
        <w:tab/>
      </w:r>
      <w:r>
        <w:rPr>
          <w:rFonts w:ascii="Arial" w:cs="Arial" w:eastAsia="Arial" w:hAnsi="Arial"/>
          <w:sz w:val="14"/>
          <w:szCs w:val="14"/>
          <w:color w:val="auto"/>
        </w:rPr>
        <w:t>o</w:t>
      </w:r>
    </w:p>
    <w:p>
      <w:pPr>
        <w:spacing w:after="0" w:line="227" w:lineRule="exact"/>
        <w:rPr>
          <w:sz w:val="20"/>
          <w:szCs w:val="20"/>
          <w:color w:val="auto"/>
        </w:rPr>
      </w:pPr>
    </w:p>
    <w:p>
      <w:pPr>
        <w:ind w:left="5" w:right="80" w:firstLine="379"/>
        <w:spacing w:after="0" w:line="336" w:lineRule="auto"/>
        <w:rPr>
          <w:sz w:val="20"/>
          <w:szCs w:val="20"/>
          <w:color w:val="auto"/>
        </w:rPr>
      </w:pPr>
      <w:r>
        <w:rPr>
          <w:rFonts w:ascii="Arial" w:cs="Arial" w:eastAsia="Arial" w:hAnsi="Arial"/>
          <w:sz w:val="14"/>
          <w:szCs w:val="14"/>
          <w:color w:val="auto"/>
        </w:rPr>
        <w:t>As of June 30, 2004, there were 60,130,582 shares of the registrant’s Common Stock outstanding, and the aggregate market value of the Common Stock held by non-affiliates of the registrant was $737,987,789 based on the closing price of the Common Stock on the New York Stock Exchange Composite Transactions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3252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04" w:lineRule="exact"/>
        <w:rPr>
          <w:sz w:val="20"/>
          <w:szCs w:val="20"/>
          <w:color w:val="auto"/>
        </w:rPr>
      </w:pPr>
    </w:p>
    <w:p>
      <w:pPr>
        <w:ind w:left="245" w:right="20" w:hanging="245"/>
        <w:spacing w:after="0" w:line="256" w:lineRule="auto"/>
        <w:tabs>
          <w:tab w:leader="none" w:pos="245"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Excludes the Common Stock held by the registrant’s executive officers, directors and stockholders whose ownership exceeds 5% of the Common Stock outstanding at June 30, 2004.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67575"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241300</wp:posOffset>
            </wp:positionV>
            <wp:extent cx="726757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type w:val="continuous"/>
        </w:sectPr>
      </w:pPr>
    </w:p>
    <w:bookmarkStart w:id="2" w:name="page3"/>
    <w:bookmarkEnd w:id="2"/>
    <w:p>
      <w:pPr>
        <w:spacing w:after="0" w:line="41"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INTRODUCTORY NOTE</w:t>
      </w:r>
    </w:p>
    <w:p>
      <w:pPr>
        <w:spacing w:after="0" w:line="228" w:lineRule="exact"/>
        <w:rPr>
          <w:sz w:val="20"/>
          <w:szCs w:val="20"/>
          <w:color w:val="auto"/>
        </w:rPr>
      </w:pPr>
    </w:p>
    <w:p>
      <w:pPr>
        <w:ind w:right="40" w:firstLine="286"/>
        <w:spacing w:after="0" w:line="293" w:lineRule="auto"/>
        <w:rPr>
          <w:sz w:val="20"/>
          <w:szCs w:val="20"/>
          <w:color w:val="auto"/>
        </w:rPr>
      </w:pPr>
      <w:r>
        <w:rPr>
          <w:rFonts w:ascii="Arial" w:cs="Arial" w:eastAsia="Arial" w:hAnsi="Arial"/>
          <w:sz w:val="14"/>
          <w:szCs w:val="14"/>
          <w:color w:val="auto"/>
        </w:rPr>
        <w:t>Lennox International Inc. (“LII” or the “Company”) is filing this Annual Report on Form 10-K to reflect the audited consolidated financial statements for the years ended December 31, 2003 and 2001, and the audited restatement of its consolidated financial statements for the year ended December 31, 2002. The Company identified adjustments through the current date that were required to be recorded, which reduced previously reported after-tax income by a total of $7.0 million, cumulative for the years 1999 through 2003. Of this amount, $7.6 million was additional income in 2003. The impact on net income for the years ended December 31, 2002 and 2001 was $9.0 million and $1.0 million of additional expense, respectively. In addition, approximately $4.6 million of adjustments were identified for years prior to 2001. As the Consolidated Financial Statements for 2001 and prior years were not materially affected by the adjustments, no adjustments have been made to the Company’s fiscal 2001 Consolidated Financial Statements. The impact for 2001 and prior years is included as an adjustment to March 31, 2002 net income.</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discussion details the public disclosures LII has made during this period regarding the restatement and the subsequent delay in filing this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w:t>
      </w:r>
    </w:p>
    <w:p>
      <w:pPr>
        <w:spacing w:after="0" w:line="192" w:lineRule="exact"/>
        <w:rPr>
          <w:sz w:val="20"/>
          <w:szCs w:val="20"/>
          <w:color w:val="auto"/>
        </w:rPr>
      </w:pPr>
    </w:p>
    <w:p>
      <w:pPr>
        <w:ind w:left="460" w:right="260" w:hanging="119"/>
        <w:spacing w:after="0" w:line="26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February 5, 2004, LII furnished a Current Report on Form 8-K that included a press release issuing preliminary unaudited financial results for the fourth quarter and full-year of 2003.</w:t>
      </w:r>
    </w:p>
    <w:p>
      <w:pPr>
        <w:spacing w:after="0" w:line="191" w:lineRule="exact"/>
        <w:rPr>
          <w:rFonts w:ascii="Arial" w:cs="Arial" w:eastAsia="Arial" w:hAnsi="Arial"/>
          <w:sz w:val="16"/>
          <w:szCs w:val="16"/>
          <w:color w:val="auto"/>
        </w:rPr>
      </w:pPr>
    </w:p>
    <w:p>
      <w:pPr>
        <w:ind w:left="460" w:right="140" w:hanging="119"/>
        <w:spacing w:after="0" w:line="25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11, 2004, LII furnished a Current Report on Form 8-K that included a press release announcing that its previously announced unaudited earnings for 2003 would be revised pending completion of an internal inquiry being conducted by the Audit Committee of LII’s Board of Directors due to accounting irregularities at certain Canadian service centers within the Company’s Service Experts business segment.</w:t>
      </w:r>
    </w:p>
    <w:p>
      <w:pPr>
        <w:spacing w:after="0" w:line="198" w:lineRule="exact"/>
        <w:rPr>
          <w:rFonts w:ascii="Arial" w:cs="Arial" w:eastAsia="Arial" w:hAnsi="Arial"/>
          <w:sz w:val="16"/>
          <w:szCs w:val="16"/>
          <w:color w:val="auto"/>
        </w:rPr>
      </w:pPr>
    </w:p>
    <w:p>
      <w:pPr>
        <w:ind w:left="460" w:right="320" w:hanging="119"/>
        <w:spacing w:after="0" w:line="26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15, 2004, LII filed a notification of late filing on Form 12b-25, disclosing that LII was delaying the filing of its Annual Report on Form 10-K and the issuance of audited consolidated financial statements for the year ended December 31, 2003, pending the resolution of the internal inquiry.</w:t>
      </w:r>
    </w:p>
    <w:p>
      <w:pPr>
        <w:spacing w:after="0" w:line="191" w:lineRule="exact"/>
        <w:rPr>
          <w:rFonts w:ascii="Arial" w:cs="Arial" w:eastAsia="Arial" w:hAnsi="Arial"/>
          <w:sz w:val="16"/>
          <w:szCs w:val="16"/>
          <w:color w:val="auto"/>
        </w:rPr>
      </w:pPr>
    </w:p>
    <w:p>
      <w:pPr>
        <w:ind w:left="460" w:right="200" w:hanging="119"/>
        <w:spacing w:after="0" w:line="26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11, 2004, LII filed a notification of late filing on Form 12b-25, disclosing that LII was delaying the filing of its Quarterly Report on Form 10-Q for the quarter ended March 31, 2004, pending the resolution of the internal inquiry.</w:t>
      </w:r>
    </w:p>
    <w:p>
      <w:pPr>
        <w:spacing w:after="0" w:line="191" w:lineRule="exact"/>
        <w:rPr>
          <w:rFonts w:ascii="Arial" w:cs="Arial" w:eastAsia="Arial" w:hAnsi="Arial"/>
          <w:sz w:val="16"/>
          <w:szCs w:val="16"/>
          <w:color w:val="auto"/>
        </w:rPr>
      </w:pPr>
    </w:p>
    <w:p>
      <w:pPr>
        <w:ind w:left="460" w:right="140" w:hanging="119"/>
        <w:spacing w:after="0" w:line="336"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On July 8, 2004, LII furnished a Current Report on Form 8-K that included a press release announcing the findings of the independent review by the Audit Committee of LII’s Board of Directors and identified downward adjustments of approximately $7 million to LII’s previously reported cumulative earnings for the years 1999 through 2003.</w:t>
      </w:r>
    </w:p>
    <w:p>
      <w:pPr>
        <w:spacing w:after="0" w:line="145" w:lineRule="exact"/>
        <w:rPr>
          <w:rFonts w:ascii="Arial" w:cs="Arial" w:eastAsia="Arial" w:hAnsi="Arial"/>
          <w:sz w:val="14"/>
          <w:szCs w:val="14"/>
          <w:color w:val="auto"/>
        </w:rPr>
      </w:pPr>
    </w:p>
    <w:p>
      <w:pPr>
        <w:ind w:left="460" w:right="220" w:hanging="119"/>
        <w:spacing w:after="0" w:line="26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9, 2004, LII filed notification of late filing on Form 12b-25, disclosing that LII was delaying the filing of its Quarterly Report on Form 10-Q for the quarter ended June 30, 2004, pending review and finalization of the appropriate treatment of the accounting adjustments with its external auditors.</w:t>
      </w:r>
    </w:p>
    <w:p>
      <w:pPr>
        <w:spacing w:after="0" w:line="191" w:lineRule="exact"/>
        <w:rPr>
          <w:rFonts w:ascii="Arial" w:cs="Arial" w:eastAsia="Arial" w:hAnsi="Arial"/>
          <w:sz w:val="16"/>
          <w:szCs w:val="16"/>
          <w:color w:val="auto"/>
        </w:rPr>
      </w:pPr>
    </w:p>
    <w:p>
      <w:pPr>
        <w:ind w:left="460" w:hanging="119"/>
        <w:spacing w:after="0" w:line="25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August 18, 2004, LII reported first and second quarter 2004 earnings results and held a publicly accessible teleconference call to discuss the quarterly results. During the teleconference, LII indicated the investigation was complete and that it would file its Annual Report on Form 10-K for 2003 and its Quarterly Reports on Form 10-Q for the first and second quarters of 2004 with the SEC as soon as possible.</w:t>
      </w:r>
    </w:p>
    <w:p>
      <w:pPr>
        <w:spacing w:after="0" w:line="198" w:lineRule="exact"/>
        <w:rPr>
          <w:sz w:val="20"/>
          <w:szCs w:val="20"/>
          <w:color w:val="auto"/>
        </w:rPr>
      </w:pPr>
    </w:p>
    <w:p>
      <w:pPr>
        <w:ind w:right="100" w:firstLine="286"/>
        <w:spacing w:after="0" w:line="252" w:lineRule="auto"/>
        <w:rPr>
          <w:sz w:val="20"/>
          <w:szCs w:val="20"/>
          <w:color w:val="auto"/>
        </w:rPr>
      </w:pPr>
      <w:r>
        <w:rPr>
          <w:rFonts w:ascii="Arial" w:cs="Arial" w:eastAsia="Arial" w:hAnsi="Arial"/>
          <w:sz w:val="16"/>
          <w:szCs w:val="16"/>
          <w:color w:val="auto"/>
        </w:rPr>
        <w:t>The Consolidated Financial Statements and financial information contained in LII’s Annual Report on Form 10-K for 2002 and its Quarterly Reports on Form 10-Q for the years 2002 and 2003 have been revised in this 10-K filing to reflect the restatement adjustments described in Note 3, “Restatement of 2002 Financial Statements and Additional Information for 2003” of the accompanying Consolidated Financial Statements. LII does not intend to amend its Annual Reports on Form 10-K or Quarterly Reports on Form 10-Q for the periods affected by the restatement that ended prior to December 31, 2003. As a result, the financial statements and related information contained in such reports should no longer be relied upon.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Arial" w:cs="Arial" w:eastAsia="Arial" w:hAnsi="Arial"/>
                <w:sz w:val="12"/>
                <w:szCs w:val="12"/>
                <w:b w:val="1"/>
                <w:bCs w:val="1"/>
                <w:color w:val="auto"/>
              </w:rPr>
              <w:t>Page</w:t>
            </w:r>
          </w:p>
        </w:tc>
      </w:tr>
      <w:tr>
        <w:trPr>
          <w:trHeight w:val="83"/>
        </w:trPr>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r>
      <w:tr>
        <w:trPr>
          <w:trHeight w:val="87"/>
        </w:trPr>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71"/>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tcBorders>
              <w:left w:val="single" w:sz="8" w:color="EEEEEE"/>
              <w:right w:val="single" w:sz="8" w:color="EEEEEE"/>
            </w:tcBorders>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560" w:type="dxa"/>
            <w:vAlign w:val="bottom"/>
            <w:tcBorders>
              <w:lef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55" w:lineRule="exact"/>
              <w:rPr>
                <w:rFonts w:ascii="Arial" w:cs="Arial" w:eastAsia="Arial" w:hAnsi="Arial"/>
                <w:sz w:val="16"/>
                <w:szCs w:val="16"/>
                <w:color w:val="0000EE"/>
              </w:rPr>
            </w:pPr>
            <w:hyperlink w:anchor="page3">
              <w:r>
                <w:rPr>
                  <w:rFonts w:ascii="Arial" w:cs="Arial" w:eastAsia="Arial" w:hAnsi="Arial"/>
                  <w:sz w:val="16"/>
                  <w:szCs w:val="16"/>
                  <w:color w:val="0000EE"/>
                </w:rPr>
                <w:t>Introductory Note</w:t>
              </w:r>
            </w:hyperlink>
          </w:p>
        </w:tc>
        <w:tc>
          <w:tcPr>
            <w:tcW w:w="440" w:type="dxa"/>
            <w:vAlign w:val="bottom"/>
            <w:shd w:val="clear" w:color="auto" w:fill="EEEEEE"/>
          </w:tcPr>
          <w:p>
            <w:pPr>
              <w:jc w:val="right"/>
              <w:ind w:right="3"/>
              <w:spacing w:after="0" w:line="155" w:lineRule="exact"/>
              <w:rPr>
                <w:sz w:val="20"/>
                <w:szCs w:val="20"/>
                <w:color w:val="auto"/>
              </w:rPr>
            </w:pPr>
            <w:r>
              <w:rPr>
                <w:rFonts w:ascii="Arial" w:cs="Arial" w:eastAsia="Arial" w:hAnsi="Arial"/>
                <w:sz w:val="16"/>
                <w:szCs w:val="16"/>
                <w:color w:val="auto"/>
              </w:rPr>
              <w:t>i</w:t>
            </w:r>
          </w:p>
        </w:tc>
      </w:tr>
      <w:tr>
        <w:trPr>
          <w:trHeight w:val="155"/>
        </w:trPr>
        <w:tc>
          <w:tcPr>
            <w:tcW w:w="1500" w:type="dxa"/>
            <w:vAlign w:val="bottom"/>
            <w:tcBorders>
              <w:top w:val="single" w:sz="8" w:color="EEEEEE"/>
            </w:tcBorders>
            <w:gridSpan w:val="7"/>
          </w:tcPr>
          <w:p>
            <w:pPr>
              <w:ind w:left="40"/>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PART I</w:t>
              </w:r>
            </w:hyperlink>
          </w:p>
        </w:tc>
        <w:tc>
          <w:tcPr>
            <w:tcW w:w="580" w:type="dxa"/>
            <w:vAlign w:val="bottom"/>
            <w:tcBorders>
              <w:top w:val="single" w:sz="8" w:color="EEEE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380" w:type="dxa"/>
            <w:vAlign w:val="bottom"/>
            <w:tcBorders>
              <w:top w:val="single" w:sz="8" w:color="EEEEEE"/>
            </w:tcBorders>
          </w:tcPr>
          <w:p>
            <w:pPr>
              <w:spacing w:after="0"/>
              <w:rPr>
                <w:sz w:val="13"/>
                <w:szCs w:val="13"/>
                <w:color w:val="auto"/>
              </w:rPr>
            </w:pPr>
          </w:p>
        </w:tc>
        <w:tc>
          <w:tcPr>
            <w:tcW w:w="940" w:type="dxa"/>
            <w:vAlign w:val="bottom"/>
            <w:tcBorders>
              <w:top w:val="single" w:sz="8" w:color="EEEEEE"/>
            </w:tcBorders>
          </w:tcPr>
          <w:p>
            <w:pPr>
              <w:spacing w:after="0"/>
              <w:rPr>
                <w:sz w:val="13"/>
                <w:szCs w:val="13"/>
                <w:color w:val="auto"/>
              </w:rPr>
            </w:pPr>
          </w:p>
        </w:tc>
        <w:tc>
          <w:tcPr>
            <w:tcW w:w="400" w:type="dxa"/>
            <w:vAlign w:val="bottom"/>
            <w:tcBorders>
              <w:top w:val="single" w:sz="8" w:color="EEEEEE"/>
            </w:tcBorders>
          </w:tcPr>
          <w:p>
            <w:pPr>
              <w:spacing w:after="0"/>
              <w:rPr>
                <w:sz w:val="13"/>
                <w:szCs w:val="13"/>
                <w:color w:val="auto"/>
              </w:rPr>
            </w:pPr>
          </w:p>
        </w:tc>
        <w:tc>
          <w:tcPr>
            <w:tcW w:w="80" w:type="dxa"/>
            <w:vAlign w:val="bottom"/>
            <w:tcBorders>
              <w:top w:val="single" w:sz="8" w:color="EEEEEE"/>
            </w:tcBorders>
          </w:tcPr>
          <w:p>
            <w:pPr>
              <w:spacing w:after="0"/>
              <w:rPr>
                <w:sz w:val="13"/>
                <w:szCs w:val="13"/>
                <w:color w:val="auto"/>
              </w:rPr>
            </w:pPr>
          </w:p>
        </w:tc>
        <w:tc>
          <w:tcPr>
            <w:tcW w:w="180" w:type="dxa"/>
            <w:vAlign w:val="bottom"/>
            <w:tcBorders>
              <w:top w:val="single" w:sz="8" w:color="EEEEEE"/>
            </w:tcBorders>
          </w:tcPr>
          <w:p>
            <w:pPr>
              <w:spacing w:after="0"/>
              <w:rPr>
                <w:sz w:val="13"/>
                <w:szCs w:val="13"/>
                <w:color w:val="auto"/>
              </w:rPr>
            </w:pPr>
          </w:p>
        </w:tc>
        <w:tc>
          <w:tcPr>
            <w:tcW w:w="120" w:type="dxa"/>
            <w:vAlign w:val="bottom"/>
            <w:tcBorders>
              <w:top w:val="single" w:sz="8" w:color="EEEEEE"/>
            </w:tcBorders>
          </w:tcPr>
          <w:p>
            <w:pPr>
              <w:spacing w:after="0"/>
              <w:rPr>
                <w:sz w:val="13"/>
                <w:szCs w:val="13"/>
                <w:color w:val="auto"/>
              </w:rPr>
            </w:pPr>
          </w:p>
        </w:tc>
        <w:tc>
          <w:tcPr>
            <w:tcW w:w="520" w:type="dxa"/>
            <w:vAlign w:val="bottom"/>
            <w:tcBorders>
              <w:top w:val="single" w:sz="8" w:color="EEEEEE"/>
            </w:tcBorders>
          </w:tcPr>
          <w:p>
            <w:pPr>
              <w:spacing w:after="0"/>
              <w:rPr>
                <w:sz w:val="13"/>
                <w:szCs w:val="13"/>
                <w:color w:val="auto"/>
              </w:rPr>
            </w:pPr>
          </w:p>
        </w:tc>
        <w:tc>
          <w:tcPr>
            <w:tcW w:w="400" w:type="dxa"/>
            <w:vAlign w:val="bottom"/>
            <w:tcBorders>
              <w:top w:val="single" w:sz="8" w:color="EEEEEE"/>
            </w:tcBorders>
          </w:tcPr>
          <w:p>
            <w:pPr>
              <w:spacing w:after="0"/>
              <w:rPr>
                <w:sz w:val="13"/>
                <w:szCs w:val="13"/>
                <w:color w:val="auto"/>
              </w:rPr>
            </w:pPr>
          </w:p>
        </w:tc>
        <w:tc>
          <w:tcPr>
            <w:tcW w:w="1400" w:type="dxa"/>
            <w:vAlign w:val="bottom"/>
            <w:tcBorders>
              <w:top w:val="single" w:sz="8" w:color="EEEEEE"/>
            </w:tcBorders>
          </w:tcPr>
          <w:p>
            <w:pPr>
              <w:spacing w:after="0"/>
              <w:rPr>
                <w:sz w:val="13"/>
                <w:szCs w:val="13"/>
                <w:color w:val="auto"/>
              </w:rPr>
            </w:pPr>
          </w:p>
        </w:tc>
        <w:tc>
          <w:tcPr>
            <w:tcW w:w="700" w:type="dxa"/>
            <w:vAlign w:val="bottom"/>
            <w:tcBorders>
              <w:top w:val="single" w:sz="8" w:color="EEEEEE"/>
            </w:tcBorders>
          </w:tcPr>
          <w:p>
            <w:pPr>
              <w:spacing w:after="0"/>
              <w:rPr>
                <w:sz w:val="13"/>
                <w:szCs w:val="13"/>
                <w:color w:val="auto"/>
              </w:rPr>
            </w:pPr>
          </w:p>
        </w:tc>
        <w:tc>
          <w:tcPr>
            <w:tcW w:w="360" w:type="dxa"/>
            <w:vAlign w:val="bottom"/>
            <w:tcBorders>
              <w:top w:val="single" w:sz="8" w:color="EEEEEE"/>
            </w:tcBorders>
          </w:tcPr>
          <w:p>
            <w:pPr>
              <w:spacing w:after="0"/>
              <w:rPr>
                <w:sz w:val="13"/>
                <w:szCs w:val="13"/>
                <w:color w:val="auto"/>
              </w:rPr>
            </w:pPr>
          </w:p>
        </w:tc>
        <w:tc>
          <w:tcPr>
            <w:tcW w:w="440" w:type="dxa"/>
            <w:vAlign w:val="bottom"/>
            <w:tcBorders>
              <w:top w:val="single" w:sz="8" w:color="EEEEEE"/>
            </w:tcBorders>
          </w:tcPr>
          <w:p>
            <w:pPr>
              <w:spacing w:after="0"/>
              <w:rPr>
                <w:sz w:val="13"/>
                <w:szCs w:val="13"/>
                <w:color w:val="auto"/>
              </w:rPr>
            </w:pPr>
          </w:p>
        </w:tc>
      </w:tr>
      <w:tr>
        <w:trPr>
          <w:trHeight w:val="28"/>
        </w:trPr>
        <w:tc>
          <w:tcPr>
            <w:tcW w:w="40" w:type="dxa"/>
            <w:vAlign w:val="bottom"/>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gridSpan w:val="3"/>
            <w:shd w:val="clear" w:color="auto" w:fill="EEEEEE"/>
          </w:tcPr>
          <w:p>
            <w:pPr>
              <w:spacing w:after="0" w:line="163" w:lineRule="exact"/>
              <w:rPr>
                <w:rFonts w:ascii="Arial" w:cs="Arial" w:eastAsia="Arial" w:hAnsi="Arial"/>
                <w:sz w:val="16"/>
                <w:szCs w:val="16"/>
                <w:color w:val="0000EE"/>
                <w:w w:val="92"/>
              </w:rPr>
            </w:pPr>
            <w:hyperlink w:anchor="page5">
              <w:r>
                <w:rPr>
                  <w:rFonts w:ascii="Arial" w:cs="Arial" w:eastAsia="Arial" w:hAnsi="Arial"/>
                  <w:sz w:val="16"/>
                  <w:szCs w:val="16"/>
                  <w:color w:val="0000EE"/>
                  <w:w w:val="92"/>
                </w:rPr>
                <w:t>ITEM 1.</w:t>
              </w:r>
            </w:hyperlink>
          </w:p>
        </w:tc>
        <w:tc>
          <w:tcPr>
            <w:tcW w:w="640" w:type="dxa"/>
            <w:vAlign w:val="bottom"/>
            <w:gridSpan w:val="2"/>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5">
              <w:r>
                <w:rPr>
                  <w:rFonts w:ascii="Arial" w:cs="Arial" w:eastAsia="Arial" w:hAnsi="Arial"/>
                  <w:sz w:val="16"/>
                  <w:szCs w:val="16"/>
                  <w:color w:val="0000EE"/>
                </w:rPr>
                <w:t>Business</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1</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0000EE"/>
          </w:tcPr>
          <w:p>
            <w:pPr>
              <w:spacing w:after="0"/>
              <w:rPr>
                <w:sz w:val="3"/>
                <w:szCs w:val="3"/>
                <w:color w:val="auto"/>
              </w:rPr>
            </w:pPr>
          </w:p>
        </w:tc>
        <w:tc>
          <w:tcPr>
            <w:tcW w:w="560" w:type="dxa"/>
            <w:vAlign w:val="bottom"/>
            <w:tcBorders>
              <w:left w:val="single" w:sz="8" w:color="EEEEEE"/>
              <w:right w:val="single" w:sz="8" w:color="EEEEEE"/>
            </w:tcBorders>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line="155" w:lineRule="exact"/>
              <w:rPr>
                <w:rFonts w:ascii="Arial" w:cs="Arial" w:eastAsia="Arial" w:hAnsi="Arial"/>
                <w:sz w:val="16"/>
                <w:szCs w:val="16"/>
                <w:color w:val="0000EE"/>
                <w:w w:val="92"/>
              </w:rPr>
            </w:pPr>
            <w:hyperlink w:anchor="page15">
              <w:r>
                <w:rPr>
                  <w:rFonts w:ascii="Arial" w:cs="Arial" w:eastAsia="Arial" w:hAnsi="Arial"/>
                  <w:sz w:val="16"/>
                  <w:szCs w:val="16"/>
                  <w:color w:val="0000EE"/>
                  <w:w w:val="92"/>
                </w:rPr>
                <w:t>ITEM 2.</w:t>
              </w:r>
            </w:hyperlink>
          </w:p>
        </w:tc>
        <w:tc>
          <w:tcPr>
            <w:tcW w:w="6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15">
              <w:r>
                <w:rPr>
                  <w:rFonts w:ascii="Arial" w:cs="Arial" w:eastAsia="Arial" w:hAnsi="Arial"/>
                  <w:sz w:val="16"/>
                  <w:szCs w:val="16"/>
                  <w:color w:val="0000EE"/>
                </w:rPr>
                <w:t>Properties</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11</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gridSpan w:val="3"/>
            <w:shd w:val="clear" w:color="auto" w:fill="EEEEEE"/>
          </w:tcPr>
          <w:p>
            <w:pPr>
              <w:spacing w:after="0" w:line="163" w:lineRule="exact"/>
              <w:rPr>
                <w:rFonts w:ascii="Arial" w:cs="Arial" w:eastAsia="Arial" w:hAnsi="Arial"/>
                <w:sz w:val="16"/>
                <w:szCs w:val="16"/>
                <w:color w:val="0000EE"/>
                <w:w w:val="92"/>
              </w:rPr>
            </w:pPr>
            <w:hyperlink w:anchor="page16">
              <w:r>
                <w:rPr>
                  <w:rFonts w:ascii="Arial" w:cs="Arial" w:eastAsia="Arial" w:hAnsi="Arial"/>
                  <w:sz w:val="16"/>
                  <w:szCs w:val="16"/>
                  <w:color w:val="0000EE"/>
                  <w:w w:val="92"/>
                </w:rPr>
                <w:t>ITEM 3.</w:t>
              </w:r>
            </w:hyperlink>
          </w:p>
        </w:tc>
        <w:tc>
          <w:tcPr>
            <w:tcW w:w="640" w:type="dxa"/>
            <w:vAlign w:val="bottom"/>
            <w:gridSpan w:val="2"/>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16">
              <w:r>
                <w:rPr>
                  <w:rFonts w:ascii="Arial" w:cs="Arial" w:eastAsia="Arial" w:hAnsi="Arial"/>
                  <w:sz w:val="16"/>
                  <w:szCs w:val="16"/>
                  <w:color w:val="0000EE"/>
                </w:rPr>
                <w:t>Legal Proceedings</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12</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line="155" w:lineRule="exact"/>
              <w:rPr>
                <w:rFonts w:ascii="Arial" w:cs="Arial" w:eastAsia="Arial" w:hAnsi="Arial"/>
                <w:sz w:val="16"/>
                <w:szCs w:val="16"/>
                <w:color w:val="0000EE"/>
                <w:w w:val="92"/>
              </w:rPr>
            </w:pPr>
            <w:hyperlink w:anchor="page16">
              <w:r>
                <w:rPr>
                  <w:rFonts w:ascii="Arial" w:cs="Arial" w:eastAsia="Arial" w:hAnsi="Arial"/>
                  <w:sz w:val="16"/>
                  <w:szCs w:val="16"/>
                  <w:color w:val="0000EE"/>
                  <w:w w:val="92"/>
                </w:rPr>
                <w:t>ITEM 4.</w:t>
              </w:r>
            </w:hyperlink>
          </w:p>
        </w:tc>
        <w:tc>
          <w:tcPr>
            <w:tcW w:w="6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16">
              <w:r>
                <w:rPr>
                  <w:rFonts w:ascii="Arial" w:cs="Arial" w:eastAsia="Arial" w:hAnsi="Arial"/>
                  <w:sz w:val="16"/>
                  <w:szCs w:val="16"/>
                  <w:color w:val="0000EE"/>
                </w:rPr>
                <w:t>Submission of Matters to a Vote of Security Holders</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12</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1500" w:type="dxa"/>
            <w:vAlign w:val="bottom"/>
            <w:gridSpan w:val="7"/>
            <w:shd w:val="clear" w:color="auto" w:fill="EEEEEE"/>
          </w:tcPr>
          <w:p>
            <w:pPr>
              <w:ind w:left="40"/>
              <w:spacing w:after="0" w:line="163" w:lineRule="exact"/>
              <w:rPr>
                <w:rFonts w:ascii="Arial" w:cs="Arial" w:eastAsia="Arial" w:hAnsi="Arial"/>
                <w:sz w:val="16"/>
                <w:szCs w:val="16"/>
                <w:color w:val="0000EE"/>
              </w:rPr>
            </w:pPr>
            <w:hyperlink w:anchor="page17">
              <w:r>
                <w:rPr>
                  <w:rFonts w:ascii="Arial" w:cs="Arial" w:eastAsia="Arial" w:hAnsi="Arial"/>
                  <w:sz w:val="16"/>
                  <w:szCs w:val="16"/>
                  <w:color w:val="0000EE"/>
                </w:rPr>
                <w:t>PART II</w:t>
              </w:r>
            </w:hyperlink>
          </w:p>
        </w:tc>
        <w:tc>
          <w:tcPr>
            <w:tcW w:w="580" w:type="dxa"/>
            <w:vAlign w:val="bottom"/>
            <w:tcBorders>
              <w:righ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560" w:type="dxa"/>
            <w:vAlign w:val="bottom"/>
            <w:tcBorders>
              <w:left w:val="single" w:sz="8" w:color="EEEEEE"/>
              <w:right w:val="single" w:sz="8" w:color="EEEEEE"/>
            </w:tcBorders>
            <w:shd w:val="clear" w:color="auto" w:fill="EEEEEE"/>
          </w:tcPr>
          <w:p>
            <w:pPr>
              <w:spacing w:after="0"/>
              <w:rPr>
                <w:sz w:val="14"/>
                <w:szCs w:val="14"/>
                <w:color w:val="auto"/>
              </w:rPr>
            </w:pPr>
          </w:p>
        </w:tc>
        <w:tc>
          <w:tcPr>
            <w:tcW w:w="380" w:type="dxa"/>
            <w:vAlign w:val="bottom"/>
            <w:tcBorders>
              <w:right w:val="single" w:sz="8" w:color="EEEEEE"/>
            </w:tcBorders>
            <w:shd w:val="clear" w:color="auto" w:fill="EEEEEE"/>
          </w:tcPr>
          <w:p>
            <w:pPr>
              <w:spacing w:after="0"/>
              <w:rPr>
                <w:sz w:val="14"/>
                <w:szCs w:val="14"/>
                <w:color w:val="auto"/>
              </w:rPr>
            </w:pPr>
          </w:p>
        </w:tc>
        <w:tc>
          <w:tcPr>
            <w:tcW w:w="940" w:type="dxa"/>
            <w:vAlign w:val="bottom"/>
            <w:tcBorders>
              <w:left w:val="single" w:sz="8" w:color="EEEEEE"/>
            </w:tcBorders>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520" w:type="dxa"/>
            <w:vAlign w:val="bottom"/>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1400" w:type="dxa"/>
            <w:vAlign w:val="bottom"/>
            <w:tcBorders>
              <w:left w:val="single" w:sz="8" w:color="EEEEEE"/>
            </w:tcBorders>
            <w:shd w:val="clear" w:color="auto" w:fill="EEEEEE"/>
          </w:tcPr>
          <w:p>
            <w:pPr>
              <w:spacing w:after="0"/>
              <w:rPr>
                <w:sz w:val="14"/>
                <w:szCs w:val="14"/>
                <w:color w:val="auto"/>
              </w:rPr>
            </w:pPr>
          </w:p>
        </w:tc>
        <w:tc>
          <w:tcPr>
            <w:tcW w:w="700" w:type="dxa"/>
            <w:vAlign w:val="bottom"/>
            <w:tcBorders>
              <w:left w:val="single" w:sz="8" w:color="EEEEEE"/>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EEEEEE"/>
            </w:tcBorders>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60" w:type="dxa"/>
            <w:vAlign w:val="bottom"/>
            <w:tcBorders>
              <w:left w:val="single" w:sz="8" w:color="EEEEEE"/>
              <w:right w:val="single" w:sz="8" w:color="EEEEEE"/>
            </w:tcBorders>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line="155"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ITEM 5.</w:t>
              </w:r>
            </w:hyperlink>
          </w:p>
        </w:tc>
        <w:tc>
          <w:tcPr>
            <w:tcW w:w="6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Market for Registrant’s Common Stock, Related Stockholder Matters and Issuer Purchases of Equity</w:t>
              </w:r>
            </w:hyperlink>
          </w:p>
        </w:tc>
        <w:tc>
          <w:tcPr>
            <w:tcW w:w="4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0" w:type="dxa"/>
            <w:vAlign w:val="bottom"/>
            <w:gridSpan w:val="14"/>
          </w:tcPr>
          <w:p>
            <w:pPr>
              <w:ind w:left="540"/>
              <w:spacing w:after="0" w:line="171" w:lineRule="exact"/>
              <w:rPr>
                <w:rFonts w:ascii="Arial" w:cs="Arial" w:eastAsia="Arial" w:hAnsi="Arial"/>
                <w:sz w:val="16"/>
                <w:szCs w:val="16"/>
                <w:color w:val="0000EE"/>
              </w:rPr>
            </w:pPr>
            <w:hyperlink w:anchor="page17">
              <w:r>
                <w:rPr>
                  <w:rFonts w:ascii="Arial" w:cs="Arial" w:eastAsia="Arial" w:hAnsi="Arial"/>
                  <w:sz w:val="16"/>
                  <w:szCs w:val="16"/>
                  <w:color w:val="0000EE"/>
                </w:rPr>
                <w:t>Securities</w:t>
              </w:r>
            </w:hyperlink>
          </w:p>
        </w:tc>
        <w:tc>
          <w:tcPr>
            <w:tcW w:w="440" w:type="dxa"/>
            <w:vAlign w:val="bottom"/>
          </w:tcPr>
          <w:p>
            <w:pPr>
              <w:jc w:val="right"/>
              <w:ind w:right="3"/>
              <w:spacing w:after="0" w:line="171" w:lineRule="exact"/>
              <w:rPr>
                <w:sz w:val="20"/>
                <w:szCs w:val="20"/>
                <w:color w:val="auto"/>
              </w:rPr>
            </w:pPr>
            <w:r>
              <w:rPr>
                <w:rFonts w:ascii="Arial" w:cs="Arial" w:eastAsia="Arial" w:hAnsi="Arial"/>
                <w:sz w:val="16"/>
                <w:szCs w:val="16"/>
                <w:color w:val="auto"/>
              </w:rPr>
              <w:t>13</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Borders>
              <w:right w:val="single" w:sz="8" w:color="0000EE"/>
            </w:tcBorders>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gridSpan w:val="3"/>
            <w:shd w:val="clear" w:color="auto" w:fill="EEEEEE"/>
          </w:tcPr>
          <w:p>
            <w:pPr>
              <w:spacing w:after="0" w:line="163" w:lineRule="exact"/>
              <w:rPr>
                <w:rFonts w:ascii="Arial" w:cs="Arial" w:eastAsia="Arial" w:hAnsi="Arial"/>
                <w:sz w:val="16"/>
                <w:szCs w:val="16"/>
                <w:color w:val="0000EE"/>
                <w:w w:val="92"/>
              </w:rPr>
            </w:pPr>
            <w:hyperlink w:anchor="page17">
              <w:r>
                <w:rPr>
                  <w:rFonts w:ascii="Arial" w:cs="Arial" w:eastAsia="Arial" w:hAnsi="Arial"/>
                  <w:sz w:val="16"/>
                  <w:szCs w:val="16"/>
                  <w:color w:val="0000EE"/>
                  <w:w w:val="92"/>
                </w:rPr>
                <w:t>ITEM 6.</w:t>
              </w:r>
            </w:hyperlink>
          </w:p>
        </w:tc>
        <w:tc>
          <w:tcPr>
            <w:tcW w:w="640" w:type="dxa"/>
            <w:vAlign w:val="bottom"/>
            <w:gridSpan w:val="2"/>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17">
              <w:r>
                <w:rPr>
                  <w:rFonts w:ascii="Arial" w:cs="Arial" w:eastAsia="Arial" w:hAnsi="Arial"/>
                  <w:sz w:val="16"/>
                  <w:szCs w:val="16"/>
                  <w:color w:val="0000EE"/>
                </w:rPr>
                <w:t>Selected Financial Data</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13</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EEEEEE"/>
            </w:tcBorders>
            <w:shd w:val="clear" w:color="auto" w:fill="0000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line="155" w:lineRule="exact"/>
              <w:rPr>
                <w:sz w:val="20"/>
                <w:szCs w:val="20"/>
                <w:color w:val="auto"/>
              </w:rPr>
            </w:pPr>
            <w:r>
              <w:rPr>
                <w:rFonts w:ascii="Arial" w:cs="Arial" w:eastAsia="Arial" w:hAnsi="Arial"/>
                <w:sz w:val="16"/>
                <w:szCs w:val="16"/>
                <w:color w:val="0000EE"/>
                <w:w w:val="92"/>
              </w:rPr>
              <w:t>ITEM 7.</w:t>
            </w:r>
          </w:p>
        </w:tc>
        <w:tc>
          <w:tcPr>
            <w:tcW w:w="6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14</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00" w:type="dxa"/>
            <w:vAlign w:val="bottom"/>
            <w:tcBorders>
              <w:left w:val="single" w:sz="8" w:color="0000EE"/>
            </w:tcBorders>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620" w:type="dxa"/>
            <w:vAlign w:val="bottom"/>
            <w:gridSpan w:val="4"/>
            <w:shd w:val="clear" w:color="auto" w:fill="EEEEEE"/>
          </w:tcPr>
          <w:p>
            <w:pPr>
              <w:spacing w:after="0" w:line="163" w:lineRule="exact"/>
              <w:rPr>
                <w:rFonts w:ascii="Arial" w:cs="Arial" w:eastAsia="Arial" w:hAnsi="Arial"/>
                <w:sz w:val="16"/>
                <w:szCs w:val="16"/>
                <w:color w:val="0000EE"/>
                <w:w w:val="86"/>
              </w:rPr>
            </w:pPr>
            <w:hyperlink w:anchor="page36">
              <w:r>
                <w:rPr>
                  <w:rFonts w:ascii="Arial" w:cs="Arial" w:eastAsia="Arial" w:hAnsi="Arial"/>
                  <w:sz w:val="16"/>
                  <w:szCs w:val="16"/>
                  <w:color w:val="0000EE"/>
                  <w:w w:val="86"/>
                </w:rPr>
                <w:t>ITEM 7A.</w:t>
              </w:r>
            </w:hyperlink>
          </w:p>
        </w:tc>
        <w:tc>
          <w:tcPr>
            <w:tcW w:w="560" w:type="dxa"/>
            <w:vAlign w:val="bottom"/>
            <w:tcBorders>
              <w:lef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36">
              <w:r>
                <w:rPr>
                  <w:rFonts w:ascii="Arial" w:cs="Arial" w:eastAsia="Arial" w:hAnsi="Arial"/>
                  <w:sz w:val="16"/>
                  <w:szCs w:val="16"/>
                  <w:color w:val="0000EE"/>
                </w:rPr>
                <w:t>Quantitative and Qualitative Disclosures About Market Risk</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32</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60" w:type="dxa"/>
            <w:vAlign w:val="bottom"/>
            <w:tcBorders>
              <w:left w:val="single" w:sz="8" w:color="0000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94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line="155" w:lineRule="exact"/>
              <w:rPr>
                <w:rFonts w:ascii="Arial" w:cs="Arial" w:eastAsia="Arial" w:hAnsi="Arial"/>
                <w:sz w:val="16"/>
                <w:szCs w:val="16"/>
                <w:color w:val="0000EE"/>
                <w:w w:val="92"/>
              </w:rPr>
            </w:pPr>
            <w:hyperlink w:anchor="page37">
              <w:r>
                <w:rPr>
                  <w:rFonts w:ascii="Arial" w:cs="Arial" w:eastAsia="Arial" w:hAnsi="Arial"/>
                  <w:sz w:val="16"/>
                  <w:szCs w:val="16"/>
                  <w:color w:val="0000EE"/>
                  <w:w w:val="92"/>
                </w:rPr>
                <w:t>ITEM 8.</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37">
              <w:r>
                <w:rPr>
                  <w:rFonts w:ascii="Arial" w:cs="Arial" w:eastAsia="Arial" w:hAnsi="Arial"/>
                  <w:sz w:val="16"/>
                  <w:szCs w:val="16"/>
                  <w:color w:val="0000EE"/>
                </w:rPr>
                <w:t>Financial Statements and Supplementary Data</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33</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540" w:type="dxa"/>
            <w:vAlign w:val="bottom"/>
            <w:gridSpan w:val="3"/>
            <w:shd w:val="clear" w:color="auto" w:fill="EEEEEE"/>
          </w:tcPr>
          <w:p>
            <w:pPr>
              <w:spacing w:after="0" w:line="163" w:lineRule="exact"/>
              <w:rPr>
                <w:rFonts w:ascii="Arial" w:cs="Arial" w:eastAsia="Arial" w:hAnsi="Arial"/>
                <w:sz w:val="16"/>
                <w:szCs w:val="16"/>
                <w:color w:val="0000EE"/>
                <w:w w:val="92"/>
              </w:rPr>
            </w:pPr>
            <w:hyperlink w:anchor="page81">
              <w:r>
                <w:rPr>
                  <w:rFonts w:ascii="Arial" w:cs="Arial" w:eastAsia="Arial" w:hAnsi="Arial"/>
                  <w:sz w:val="16"/>
                  <w:szCs w:val="16"/>
                  <w:color w:val="0000EE"/>
                  <w:w w:val="92"/>
                </w:rPr>
                <w:t>ITEM 9.</w:t>
              </w:r>
            </w:hyperlink>
          </w:p>
        </w:tc>
        <w:tc>
          <w:tcPr>
            <w:tcW w:w="640" w:type="dxa"/>
            <w:vAlign w:val="bottom"/>
            <w:gridSpan w:val="2"/>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81">
              <w:r>
                <w:rPr>
                  <w:rFonts w:ascii="Arial" w:cs="Arial" w:eastAsia="Arial" w:hAnsi="Arial"/>
                  <w:sz w:val="16"/>
                  <w:szCs w:val="16"/>
                  <w:color w:val="0000EE"/>
                </w:rPr>
                <w:t>Changes in and Disagreements with Accountants on Accounting and Financial Disclosure</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77</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94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0" w:type="dxa"/>
            <w:vAlign w:val="bottom"/>
            <w:tcBorders>
              <w:left w:val="single" w:sz="8" w:color="0000EE"/>
            </w:tcBorders>
            <w:shd w:val="clear" w:color="auto" w:fill="0000EE"/>
          </w:tcPr>
          <w:p>
            <w:pPr>
              <w:spacing w:after="0"/>
              <w:rPr>
                <w:sz w:val="3"/>
                <w:szCs w:val="3"/>
                <w:color w:val="auto"/>
              </w:rPr>
            </w:pPr>
          </w:p>
        </w:tc>
        <w:tc>
          <w:tcPr>
            <w:tcW w:w="700" w:type="dxa"/>
            <w:vAlign w:val="bottom"/>
            <w:tcBorders>
              <w:left w:val="single" w:sz="8" w:color="0000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4"/>
          </w:tcPr>
          <w:p>
            <w:pPr>
              <w:spacing w:after="0" w:line="155" w:lineRule="exact"/>
              <w:rPr>
                <w:rFonts w:ascii="Arial" w:cs="Arial" w:eastAsia="Arial" w:hAnsi="Arial"/>
                <w:sz w:val="16"/>
                <w:szCs w:val="16"/>
                <w:color w:val="0000EE"/>
                <w:w w:val="86"/>
              </w:rPr>
            </w:pPr>
            <w:hyperlink w:anchor="page81">
              <w:r>
                <w:rPr>
                  <w:rFonts w:ascii="Arial" w:cs="Arial" w:eastAsia="Arial" w:hAnsi="Arial"/>
                  <w:sz w:val="16"/>
                  <w:szCs w:val="16"/>
                  <w:color w:val="0000EE"/>
                  <w:w w:val="86"/>
                </w:rPr>
                <w:t>ITEM 9A.</w:t>
              </w:r>
            </w:hyperlink>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81">
              <w:r>
                <w:rPr>
                  <w:rFonts w:ascii="Arial" w:cs="Arial" w:eastAsia="Arial" w:hAnsi="Arial"/>
                  <w:sz w:val="16"/>
                  <w:szCs w:val="16"/>
                  <w:color w:val="0000EE"/>
                </w:rPr>
                <w:t>Controls and Procedures</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77</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Borders>
              <w:left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1500" w:type="dxa"/>
            <w:vAlign w:val="bottom"/>
            <w:gridSpan w:val="7"/>
            <w:shd w:val="clear" w:color="auto" w:fill="EEEEEE"/>
          </w:tcPr>
          <w:p>
            <w:pPr>
              <w:ind w:left="40"/>
              <w:spacing w:after="0" w:line="163" w:lineRule="exact"/>
              <w:rPr>
                <w:rFonts w:ascii="Arial" w:cs="Arial" w:eastAsia="Arial" w:hAnsi="Arial"/>
                <w:sz w:val="16"/>
                <w:szCs w:val="16"/>
                <w:color w:val="0000EE"/>
              </w:rPr>
            </w:pPr>
            <w:hyperlink w:anchor="page83">
              <w:r>
                <w:rPr>
                  <w:rFonts w:ascii="Arial" w:cs="Arial" w:eastAsia="Arial" w:hAnsi="Arial"/>
                  <w:sz w:val="16"/>
                  <w:szCs w:val="16"/>
                  <w:color w:val="0000EE"/>
                </w:rPr>
                <w:t>PART III</w:t>
              </w:r>
            </w:hyperlink>
          </w:p>
        </w:tc>
        <w:tc>
          <w:tcPr>
            <w:tcW w:w="580" w:type="dxa"/>
            <w:vAlign w:val="bottom"/>
            <w:tcBorders>
              <w:righ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560" w:type="dxa"/>
            <w:vAlign w:val="bottom"/>
            <w:tcBorders>
              <w:left w:val="single" w:sz="8" w:color="EEEEEE"/>
              <w:right w:val="single" w:sz="8" w:color="EEEEEE"/>
            </w:tcBorders>
            <w:shd w:val="clear" w:color="auto" w:fill="EEEEEE"/>
          </w:tcPr>
          <w:p>
            <w:pPr>
              <w:spacing w:after="0"/>
              <w:rPr>
                <w:sz w:val="14"/>
                <w:szCs w:val="14"/>
                <w:color w:val="auto"/>
              </w:rPr>
            </w:pPr>
          </w:p>
        </w:tc>
        <w:tc>
          <w:tcPr>
            <w:tcW w:w="380" w:type="dxa"/>
            <w:vAlign w:val="bottom"/>
            <w:tcBorders>
              <w:right w:val="single" w:sz="8" w:color="EEEEEE"/>
            </w:tcBorders>
            <w:shd w:val="clear" w:color="auto" w:fill="EEEEEE"/>
          </w:tcPr>
          <w:p>
            <w:pPr>
              <w:spacing w:after="0"/>
              <w:rPr>
                <w:sz w:val="14"/>
                <w:szCs w:val="14"/>
                <w:color w:val="auto"/>
              </w:rPr>
            </w:pPr>
          </w:p>
        </w:tc>
        <w:tc>
          <w:tcPr>
            <w:tcW w:w="940" w:type="dxa"/>
            <w:vAlign w:val="bottom"/>
            <w:tcBorders>
              <w:left w:val="single" w:sz="8" w:color="EEEEEE"/>
            </w:tcBorders>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520" w:type="dxa"/>
            <w:vAlign w:val="bottom"/>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1400" w:type="dxa"/>
            <w:vAlign w:val="bottom"/>
            <w:tcBorders>
              <w:left w:val="single" w:sz="8" w:color="EEEEEE"/>
            </w:tcBorders>
            <w:shd w:val="clear" w:color="auto" w:fill="EEEEEE"/>
          </w:tcPr>
          <w:p>
            <w:pPr>
              <w:spacing w:after="0"/>
              <w:rPr>
                <w:sz w:val="14"/>
                <w:szCs w:val="14"/>
                <w:color w:val="auto"/>
              </w:rPr>
            </w:pPr>
          </w:p>
        </w:tc>
        <w:tc>
          <w:tcPr>
            <w:tcW w:w="700" w:type="dxa"/>
            <w:vAlign w:val="bottom"/>
            <w:tcBorders>
              <w:left w:val="single" w:sz="8" w:color="EEEEEE"/>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EEEEEE"/>
            </w:tcBorders>
            <w:shd w:val="clear" w:color="auto" w:fill="0000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60" w:type="dxa"/>
            <w:vAlign w:val="bottom"/>
            <w:tcBorders>
              <w:left w:val="single" w:sz="8" w:color="EEEEEE"/>
              <w:right w:val="single" w:sz="8" w:color="EEEEEE"/>
            </w:tcBorders>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4"/>
          </w:tcPr>
          <w:p>
            <w:pPr>
              <w:spacing w:after="0" w:line="155" w:lineRule="exact"/>
              <w:rPr>
                <w:rFonts w:ascii="Arial" w:cs="Arial" w:eastAsia="Arial" w:hAnsi="Arial"/>
                <w:sz w:val="16"/>
                <w:szCs w:val="16"/>
                <w:color w:val="0000EE"/>
                <w:w w:val="89"/>
              </w:rPr>
            </w:pPr>
            <w:hyperlink w:anchor="page83">
              <w:r>
                <w:rPr>
                  <w:rFonts w:ascii="Arial" w:cs="Arial" w:eastAsia="Arial" w:hAnsi="Arial"/>
                  <w:sz w:val="16"/>
                  <w:szCs w:val="16"/>
                  <w:color w:val="0000EE"/>
                  <w:w w:val="89"/>
                </w:rPr>
                <w:t>ITEM 10.</w:t>
              </w:r>
            </w:hyperlink>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83">
              <w:r>
                <w:rPr>
                  <w:rFonts w:ascii="Arial" w:cs="Arial" w:eastAsia="Arial" w:hAnsi="Arial"/>
                  <w:sz w:val="16"/>
                  <w:szCs w:val="16"/>
                  <w:color w:val="0000EE"/>
                </w:rPr>
                <w:t>Directors and Executive Officers of the Registrant</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79</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620" w:type="dxa"/>
            <w:vAlign w:val="bottom"/>
            <w:gridSpan w:val="4"/>
            <w:shd w:val="clear" w:color="auto" w:fill="EEEEEE"/>
          </w:tcPr>
          <w:p>
            <w:pPr>
              <w:spacing w:after="0" w:line="163" w:lineRule="exact"/>
              <w:rPr>
                <w:rFonts w:ascii="Arial" w:cs="Arial" w:eastAsia="Arial" w:hAnsi="Arial"/>
                <w:sz w:val="16"/>
                <w:szCs w:val="16"/>
                <w:color w:val="0000EE"/>
                <w:w w:val="89"/>
              </w:rPr>
            </w:pPr>
            <w:hyperlink w:anchor="page84">
              <w:r>
                <w:rPr>
                  <w:rFonts w:ascii="Arial" w:cs="Arial" w:eastAsia="Arial" w:hAnsi="Arial"/>
                  <w:sz w:val="16"/>
                  <w:szCs w:val="16"/>
                  <w:color w:val="0000EE"/>
                  <w:w w:val="89"/>
                </w:rPr>
                <w:t>ITEM 11.</w:t>
              </w:r>
            </w:hyperlink>
          </w:p>
        </w:tc>
        <w:tc>
          <w:tcPr>
            <w:tcW w:w="560" w:type="dxa"/>
            <w:vAlign w:val="bottom"/>
            <w:tcBorders>
              <w:lef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84">
              <w:r>
                <w:rPr>
                  <w:rFonts w:ascii="Arial" w:cs="Arial" w:eastAsia="Arial" w:hAnsi="Arial"/>
                  <w:sz w:val="16"/>
                  <w:szCs w:val="16"/>
                  <w:color w:val="0000EE"/>
                </w:rPr>
                <w:t>Executive Compensation</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80</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940" w:type="dxa"/>
            <w:vAlign w:val="bottom"/>
            <w:tcBorders>
              <w:left w:val="single" w:sz="8" w:color="0000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4"/>
          </w:tcPr>
          <w:p>
            <w:pPr>
              <w:spacing w:after="0" w:line="155" w:lineRule="exact"/>
              <w:rPr>
                <w:rFonts w:ascii="Arial" w:cs="Arial" w:eastAsia="Arial" w:hAnsi="Arial"/>
                <w:sz w:val="16"/>
                <w:szCs w:val="16"/>
                <w:color w:val="0000EE"/>
                <w:w w:val="89"/>
              </w:rPr>
            </w:pPr>
            <w:hyperlink w:anchor="page84">
              <w:r>
                <w:rPr>
                  <w:rFonts w:ascii="Arial" w:cs="Arial" w:eastAsia="Arial" w:hAnsi="Arial"/>
                  <w:sz w:val="16"/>
                  <w:szCs w:val="16"/>
                  <w:color w:val="0000EE"/>
                  <w:w w:val="89"/>
                </w:rPr>
                <w:t>ITEM 12.</w:t>
              </w:r>
            </w:hyperlink>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84">
              <w:r>
                <w:rPr>
                  <w:rFonts w:ascii="Arial" w:cs="Arial" w:eastAsia="Arial" w:hAnsi="Arial"/>
                  <w:sz w:val="16"/>
                  <w:szCs w:val="16"/>
                  <w:color w:val="0000EE"/>
                </w:rPr>
                <w:t>Security Ownership of Certain Beneficial Owners and Management</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80</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00" w:type="dxa"/>
            <w:vAlign w:val="bottom"/>
            <w:tcBorders>
              <w:left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620" w:type="dxa"/>
            <w:vAlign w:val="bottom"/>
            <w:gridSpan w:val="4"/>
            <w:shd w:val="clear" w:color="auto" w:fill="EEEEEE"/>
          </w:tcPr>
          <w:p>
            <w:pPr>
              <w:spacing w:after="0" w:line="163" w:lineRule="exact"/>
              <w:rPr>
                <w:rFonts w:ascii="Arial" w:cs="Arial" w:eastAsia="Arial" w:hAnsi="Arial"/>
                <w:sz w:val="16"/>
                <w:szCs w:val="16"/>
                <w:color w:val="0000EE"/>
                <w:w w:val="89"/>
              </w:rPr>
            </w:pPr>
            <w:hyperlink w:anchor="page85">
              <w:r>
                <w:rPr>
                  <w:rFonts w:ascii="Arial" w:cs="Arial" w:eastAsia="Arial" w:hAnsi="Arial"/>
                  <w:sz w:val="16"/>
                  <w:szCs w:val="16"/>
                  <w:color w:val="0000EE"/>
                  <w:w w:val="89"/>
                </w:rPr>
                <w:t>ITEM 13.</w:t>
              </w:r>
            </w:hyperlink>
          </w:p>
        </w:tc>
        <w:tc>
          <w:tcPr>
            <w:tcW w:w="560" w:type="dxa"/>
            <w:vAlign w:val="bottom"/>
            <w:tcBorders>
              <w:lef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6620" w:type="dxa"/>
            <w:vAlign w:val="bottom"/>
            <w:gridSpan w:val="13"/>
            <w:shd w:val="clear" w:color="auto" w:fill="EEEEEE"/>
          </w:tcPr>
          <w:p>
            <w:pPr>
              <w:spacing w:after="0" w:line="163" w:lineRule="exact"/>
              <w:rPr>
                <w:rFonts w:ascii="Arial" w:cs="Arial" w:eastAsia="Arial" w:hAnsi="Arial"/>
                <w:sz w:val="16"/>
                <w:szCs w:val="16"/>
                <w:color w:val="0000EE"/>
              </w:rPr>
            </w:pPr>
            <w:hyperlink w:anchor="page85">
              <w:r>
                <w:rPr>
                  <w:rFonts w:ascii="Arial" w:cs="Arial" w:eastAsia="Arial" w:hAnsi="Arial"/>
                  <w:sz w:val="16"/>
                  <w:szCs w:val="16"/>
                  <w:color w:val="0000EE"/>
                </w:rPr>
                <w:t>Certain Relationships and Related Transactions</w:t>
              </w:r>
            </w:hyperlink>
          </w:p>
        </w:tc>
        <w:tc>
          <w:tcPr>
            <w:tcW w:w="440" w:type="dxa"/>
            <w:vAlign w:val="bottom"/>
            <w:shd w:val="clear" w:color="auto" w:fill="EEEEEE"/>
          </w:tcPr>
          <w:p>
            <w:pPr>
              <w:jc w:val="right"/>
              <w:ind w:right="3"/>
              <w:spacing w:after="0" w:line="163" w:lineRule="exact"/>
              <w:rPr>
                <w:sz w:val="20"/>
                <w:szCs w:val="20"/>
                <w:color w:val="auto"/>
              </w:rPr>
            </w:pPr>
            <w:r>
              <w:rPr>
                <w:rFonts w:ascii="Arial" w:cs="Arial" w:eastAsia="Arial" w:hAnsi="Arial"/>
                <w:sz w:val="16"/>
                <w:szCs w:val="16"/>
                <w:color w:val="auto"/>
              </w:rPr>
              <w:t>81</w:t>
            </w: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right w:val="single" w:sz="8" w:color="0000EE"/>
            </w:tcBorders>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940" w:type="dxa"/>
            <w:vAlign w:val="bottom"/>
            <w:tcBorders>
              <w:left w:val="single" w:sz="8" w:color="0000EE"/>
            </w:tcBorders>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4"/>
          </w:tcPr>
          <w:p>
            <w:pPr>
              <w:spacing w:after="0" w:line="155" w:lineRule="exact"/>
              <w:rPr>
                <w:rFonts w:ascii="Arial" w:cs="Arial" w:eastAsia="Arial" w:hAnsi="Arial"/>
                <w:sz w:val="16"/>
                <w:szCs w:val="16"/>
                <w:color w:val="0000EE"/>
                <w:w w:val="89"/>
              </w:rPr>
            </w:pPr>
            <w:hyperlink w:anchor="page85">
              <w:r>
                <w:rPr>
                  <w:rFonts w:ascii="Arial" w:cs="Arial" w:eastAsia="Arial" w:hAnsi="Arial"/>
                  <w:sz w:val="16"/>
                  <w:szCs w:val="16"/>
                  <w:color w:val="0000EE"/>
                  <w:w w:val="89"/>
                </w:rPr>
                <w:t>ITEM 14.</w:t>
              </w:r>
            </w:hyperlink>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85">
              <w:r>
                <w:rPr>
                  <w:rFonts w:ascii="Arial" w:cs="Arial" w:eastAsia="Arial" w:hAnsi="Arial"/>
                  <w:sz w:val="16"/>
                  <w:szCs w:val="16"/>
                  <w:color w:val="0000EE"/>
                </w:rPr>
                <w:t>Principal Accounting Fees and Services</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81</w:t>
            </w:r>
          </w:p>
        </w:tc>
      </w:tr>
      <w:tr>
        <w:trPr>
          <w:trHeight w:val="28"/>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0000EE"/>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40" w:type="dxa"/>
            <w:vAlign w:val="bottom"/>
            <w:tcBorders>
              <w:left w:val="single" w:sz="8" w:color="0000EE"/>
            </w:tcBorders>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63"/>
        </w:trPr>
        <w:tc>
          <w:tcPr>
            <w:tcW w:w="1500" w:type="dxa"/>
            <w:vAlign w:val="bottom"/>
            <w:gridSpan w:val="7"/>
            <w:shd w:val="clear" w:color="auto" w:fill="EEEEEE"/>
          </w:tcPr>
          <w:p>
            <w:pPr>
              <w:ind w:left="40"/>
              <w:spacing w:after="0" w:line="163" w:lineRule="exact"/>
              <w:rPr>
                <w:rFonts w:ascii="Arial" w:cs="Arial" w:eastAsia="Arial" w:hAnsi="Arial"/>
                <w:sz w:val="16"/>
                <w:szCs w:val="16"/>
                <w:color w:val="0000EE"/>
              </w:rPr>
            </w:pPr>
            <w:hyperlink w:anchor="page85">
              <w:r>
                <w:rPr>
                  <w:rFonts w:ascii="Arial" w:cs="Arial" w:eastAsia="Arial" w:hAnsi="Arial"/>
                  <w:sz w:val="16"/>
                  <w:szCs w:val="16"/>
                  <w:color w:val="0000EE"/>
                </w:rPr>
                <w:t>PART IV</w:t>
              </w:r>
            </w:hyperlink>
          </w:p>
        </w:tc>
        <w:tc>
          <w:tcPr>
            <w:tcW w:w="580" w:type="dxa"/>
            <w:vAlign w:val="bottom"/>
            <w:tcBorders>
              <w:right w:val="single" w:sz="8" w:color="EEEEEE"/>
            </w:tcBorders>
            <w:shd w:val="clear" w:color="auto" w:fill="EEEEEE"/>
          </w:tcPr>
          <w:p>
            <w:pPr>
              <w:spacing w:after="0"/>
              <w:rPr>
                <w:sz w:val="14"/>
                <w:szCs w:val="14"/>
                <w:color w:val="auto"/>
              </w:rPr>
            </w:pPr>
          </w:p>
        </w:tc>
        <w:tc>
          <w:tcPr>
            <w:tcW w:w="580" w:type="dxa"/>
            <w:vAlign w:val="bottom"/>
            <w:tcBorders>
              <w:right w:val="single" w:sz="8" w:color="EEEEEE"/>
            </w:tcBorders>
            <w:shd w:val="clear" w:color="auto" w:fill="EEEEEE"/>
          </w:tcPr>
          <w:p>
            <w:pPr>
              <w:spacing w:after="0"/>
              <w:rPr>
                <w:sz w:val="14"/>
                <w:szCs w:val="14"/>
                <w:color w:val="auto"/>
              </w:rPr>
            </w:pPr>
          </w:p>
        </w:tc>
        <w:tc>
          <w:tcPr>
            <w:tcW w:w="560" w:type="dxa"/>
            <w:vAlign w:val="bottom"/>
            <w:tcBorders>
              <w:left w:val="single" w:sz="8" w:color="EEEEEE"/>
              <w:right w:val="single" w:sz="8" w:color="EEEEEE"/>
            </w:tcBorders>
            <w:shd w:val="clear" w:color="auto" w:fill="EEEEEE"/>
          </w:tcPr>
          <w:p>
            <w:pPr>
              <w:spacing w:after="0"/>
              <w:rPr>
                <w:sz w:val="14"/>
                <w:szCs w:val="14"/>
                <w:color w:val="auto"/>
              </w:rPr>
            </w:pPr>
          </w:p>
        </w:tc>
        <w:tc>
          <w:tcPr>
            <w:tcW w:w="380" w:type="dxa"/>
            <w:vAlign w:val="bottom"/>
            <w:tcBorders>
              <w:right w:val="single" w:sz="8" w:color="EEEEEE"/>
            </w:tcBorders>
            <w:shd w:val="clear" w:color="auto" w:fill="EEEEEE"/>
          </w:tcPr>
          <w:p>
            <w:pPr>
              <w:spacing w:after="0"/>
              <w:rPr>
                <w:sz w:val="14"/>
                <w:szCs w:val="14"/>
                <w:color w:val="auto"/>
              </w:rPr>
            </w:pPr>
          </w:p>
        </w:tc>
        <w:tc>
          <w:tcPr>
            <w:tcW w:w="940" w:type="dxa"/>
            <w:vAlign w:val="bottom"/>
            <w:tcBorders>
              <w:left w:val="single" w:sz="8" w:color="EEEEEE"/>
            </w:tcBorders>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520" w:type="dxa"/>
            <w:vAlign w:val="bottom"/>
            <w:shd w:val="clear" w:color="auto" w:fill="EEEEEE"/>
          </w:tcPr>
          <w:p>
            <w:pPr>
              <w:spacing w:after="0"/>
              <w:rPr>
                <w:sz w:val="14"/>
                <w:szCs w:val="14"/>
                <w:color w:val="auto"/>
              </w:rPr>
            </w:pPr>
          </w:p>
        </w:tc>
        <w:tc>
          <w:tcPr>
            <w:tcW w:w="400" w:type="dxa"/>
            <w:vAlign w:val="bottom"/>
            <w:shd w:val="clear" w:color="auto" w:fill="EEEEEE"/>
          </w:tcPr>
          <w:p>
            <w:pPr>
              <w:spacing w:after="0"/>
              <w:rPr>
                <w:sz w:val="14"/>
                <w:szCs w:val="14"/>
                <w:color w:val="auto"/>
              </w:rPr>
            </w:pPr>
          </w:p>
        </w:tc>
        <w:tc>
          <w:tcPr>
            <w:tcW w:w="1400" w:type="dxa"/>
            <w:vAlign w:val="bottom"/>
            <w:tcBorders>
              <w:left w:val="single" w:sz="8" w:color="EEEEEE"/>
            </w:tcBorders>
            <w:shd w:val="clear" w:color="auto" w:fill="EEEEEE"/>
          </w:tcPr>
          <w:p>
            <w:pPr>
              <w:spacing w:after="0"/>
              <w:rPr>
                <w:sz w:val="14"/>
                <w:szCs w:val="14"/>
                <w:color w:val="auto"/>
              </w:rPr>
            </w:pPr>
          </w:p>
        </w:tc>
        <w:tc>
          <w:tcPr>
            <w:tcW w:w="700" w:type="dxa"/>
            <w:vAlign w:val="bottom"/>
            <w:tcBorders>
              <w:left w:val="single" w:sz="8" w:color="EEEEEE"/>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r>
      <w:tr>
        <w:trPr>
          <w:trHeight w:val="36"/>
        </w:trPr>
        <w:tc>
          <w:tcPr>
            <w:tcW w:w="40" w:type="dxa"/>
            <w:vAlign w:val="bottom"/>
            <w:shd w:val="clear" w:color="auto" w:fill="EEEE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60" w:type="dxa"/>
            <w:vAlign w:val="bottom"/>
            <w:tcBorders>
              <w:lef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80" w:type="dxa"/>
            <w:vAlign w:val="bottom"/>
            <w:tcBorders>
              <w:right w:val="single" w:sz="8" w:color="EEEEEE"/>
            </w:tcBorders>
            <w:shd w:val="clear" w:color="auto" w:fill="EEEEEE"/>
          </w:tcPr>
          <w:p>
            <w:pPr>
              <w:spacing w:after="0"/>
              <w:rPr>
                <w:sz w:val="3"/>
                <w:szCs w:val="3"/>
                <w:color w:val="auto"/>
              </w:rPr>
            </w:pPr>
          </w:p>
        </w:tc>
        <w:tc>
          <w:tcPr>
            <w:tcW w:w="560" w:type="dxa"/>
            <w:vAlign w:val="bottom"/>
            <w:tcBorders>
              <w:left w:val="single" w:sz="8" w:color="EEEEEE"/>
              <w:right w:val="single" w:sz="8" w:color="EEEEEE"/>
            </w:tcBorders>
            <w:shd w:val="clear" w:color="auto" w:fill="EEEEEE"/>
          </w:tcPr>
          <w:p>
            <w:pPr>
              <w:spacing w:after="0"/>
              <w:rPr>
                <w:sz w:val="3"/>
                <w:szCs w:val="3"/>
                <w:color w:val="auto"/>
              </w:rPr>
            </w:pPr>
          </w:p>
        </w:tc>
        <w:tc>
          <w:tcPr>
            <w:tcW w:w="380" w:type="dxa"/>
            <w:vAlign w:val="bottom"/>
            <w:tcBorders>
              <w:right w:val="single" w:sz="8" w:color="EEEEEE"/>
            </w:tcBorders>
            <w:shd w:val="clear" w:color="auto" w:fill="EEEEEE"/>
          </w:tcPr>
          <w:p>
            <w:pPr>
              <w:spacing w:after="0"/>
              <w:rPr>
                <w:sz w:val="3"/>
                <w:szCs w:val="3"/>
                <w:color w:val="auto"/>
              </w:rPr>
            </w:pPr>
          </w:p>
        </w:tc>
        <w:tc>
          <w:tcPr>
            <w:tcW w:w="940" w:type="dxa"/>
            <w:vAlign w:val="bottom"/>
            <w:tcBorders>
              <w:left w:val="single" w:sz="8" w:color="EEEEEE"/>
            </w:tcBorders>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00" w:type="dxa"/>
            <w:vAlign w:val="bottom"/>
            <w:shd w:val="clear" w:color="auto" w:fill="EEEEEE"/>
          </w:tcPr>
          <w:p>
            <w:pPr>
              <w:spacing w:after="0"/>
              <w:rPr>
                <w:sz w:val="3"/>
                <w:szCs w:val="3"/>
                <w:color w:val="auto"/>
              </w:rPr>
            </w:pPr>
          </w:p>
        </w:tc>
        <w:tc>
          <w:tcPr>
            <w:tcW w:w="1400" w:type="dxa"/>
            <w:vAlign w:val="bottom"/>
            <w:tcBorders>
              <w:left w:val="single" w:sz="8" w:color="EEEEEE"/>
            </w:tcBorders>
            <w:shd w:val="clear" w:color="auto" w:fill="EEEEEE"/>
          </w:tcPr>
          <w:p>
            <w:pPr>
              <w:spacing w:after="0"/>
              <w:rPr>
                <w:sz w:val="3"/>
                <w:szCs w:val="3"/>
                <w:color w:val="auto"/>
              </w:rPr>
            </w:pPr>
          </w:p>
        </w:tc>
        <w:tc>
          <w:tcPr>
            <w:tcW w:w="700" w:type="dxa"/>
            <w:vAlign w:val="bottom"/>
            <w:tcBorders>
              <w:lef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4"/>
          </w:tcPr>
          <w:p>
            <w:pPr>
              <w:spacing w:after="0" w:line="155" w:lineRule="exact"/>
              <w:rPr>
                <w:rFonts w:ascii="Arial" w:cs="Arial" w:eastAsia="Arial" w:hAnsi="Arial"/>
                <w:sz w:val="16"/>
                <w:szCs w:val="16"/>
                <w:color w:val="0000EE"/>
                <w:w w:val="89"/>
              </w:rPr>
            </w:pPr>
            <w:hyperlink w:anchor="page85">
              <w:r>
                <w:rPr>
                  <w:rFonts w:ascii="Arial" w:cs="Arial" w:eastAsia="Arial" w:hAnsi="Arial"/>
                  <w:sz w:val="16"/>
                  <w:szCs w:val="16"/>
                  <w:color w:val="0000EE"/>
                  <w:w w:val="89"/>
                </w:rPr>
                <w:t>ITEM 15.</w:t>
              </w:r>
            </w:hyperlink>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20" w:type="dxa"/>
            <w:vAlign w:val="bottom"/>
            <w:gridSpan w:val="13"/>
          </w:tcPr>
          <w:p>
            <w:pPr>
              <w:spacing w:after="0" w:line="155" w:lineRule="exact"/>
              <w:rPr>
                <w:rFonts w:ascii="Arial" w:cs="Arial" w:eastAsia="Arial" w:hAnsi="Arial"/>
                <w:sz w:val="16"/>
                <w:szCs w:val="16"/>
                <w:color w:val="0000EE"/>
              </w:rPr>
            </w:pPr>
            <w:hyperlink w:anchor="page85">
              <w:r>
                <w:rPr>
                  <w:rFonts w:ascii="Arial" w:cs="Arial" w:eastAsia="Arial" w:hAnsi="Arial"/>
                  <w:sz w:val="16"/>
                  <w:szCs w:val="16"/>
                  <w:color w:val="0000EE"/>
                </w:rPr>
                <w:t>Exhibits, Financial Statement Schedules, and Reports on Form 8-K</w:t>
              </w:r>
            </w:hyperlink>
          </w:p>
        </w:tc>
        <w:tc>
          <w:tcPr>
            <w:tcW w:w="440" w:type="dxa"/>
            <w:vAlign w:val="bottom"/>
          </w:tcPr>
          <w:p>
            <w:pPr>
              <w:jc w:val="right"/>
              <w:ind w:right="3"/>
              <w:spacing w:after="0" w:line="155" w:lineRule="exact"/>
              <w:rPr>
                <w:sz w:val="20"/>
                <w:szCs w:val="20"/>
                <w:color w:val="auto"/>
              </w:rPr>
            </w:pPr>
            <w:r>
              <w:rPr>
                <w:rFonts w:ascii="Arial" w:cs="Arial" w:eastAsia="Arial" w:hAnsi="Arial"/>
                <w:sz w:val="16"/>
                <w:szCs w:val="16"/>
                <w:color w:val="auto"/>
              </w:rPr>
              <w:t>81</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7" w:lineRule="exact"/>
        <w:rPr>
          <w:sz w:val="20"/>
          <w:szCs w:val="20"/>
          <w:color w:val="auto"/>
        </w:rPr>
      </w:pPr>
    </w:p>
    <w:p>
      <w:pPr>
        <w:ind w:left="1180"/>
        <w:spacing w:after="0"/>
        <w:rPr>
          <w:sz w:val="20"/>
          <w:szCs w:val="20"/>
          <w:color w:val="auto"/>
        </w:rPr>
      </w:pPr>
      <w:r>
        <w:rPr>
          <w:rFonts w:ascii="Arial" w:cs="Arial" w:eastAsia="Arial" w:hAnsi="Arial"/>
          <w:sz w:val="16"/>
          <w:szCs w:val="16"/>
          <w:u w:val="single" w:color="auto"/>
          <w:color w:val="0000EE"/>
        </w:rPr>
        <w:t>First Amendment to Amended and Restated Credit Facility Agreement</w:t>
      </w:r>
    </w:p>
    <w:p>
      <w:pPr>
        <w:sectPr>
          <w:pgSz w:w="11900" w:h="16880" w:orient="portrait"/>
          <w:cols w:equalWidth="0" w:num="1">
            <w:col w:w="11440"/>
          </w:cols>
          <w:pgMar w:left="240" w:top="386" w:right="219" w:bottom="0" w:gutter="0" w:footer="0" w:header="0"/>
        </w:sectPr>
      </w:pPr>
    </w:p>
    <w:bookmarkStart w:id="3" w:name="page4"/>
    <w:bookmarkEnd w:id="3"/>
    <w:p>
      <w:pPr>
        <w:ind w:right="3639"/>
        <w:spacing w:after="0" w:line="251" w:lineRule="auto"/>
        <w:rPr>
          <w:sz w:val="20"/>
          <w:szCs w:val="20"/>
          <w:color w:val="auto"/>
        </w:rPr>
      </w:pPr>
      <w:r>
        <w:rPr>
          <w:rFonts w:ascii="Arial" w:cs="Arial" w:eastAsia="Arial" w:hAnsi="Arial"/>
          <w:sz w:val="16"/>
          <w:szCs w:val="16"/>
          <w:u w:val="single" w:color="auto"/>
          <w:color w:val="0000EE"/>
        </w:rPr>
        <w:t>Fourth Amendment to Second Amended and Restated Receivable Purchase Agreement First Omnibus Amendment to Transaction Documents Assignment and Assumption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Amendment No. 2 to Receivables Purchase Agreement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Computation of Ratio of Earnings to Fixed Charges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Subsidiaries of LII</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Consent of KPMG LLP</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Certification of the Principal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Certification of the Principal Financial Officer</w:t>
      </w:r>
    </w:p>
    <w:p>
      <w:pPr>
        <w:spacing w:after="0" w:line="7" w:lineRule="exact"/>
        <w:rPr>
          <w:sz w:val="20"/>
          <w:szCs w:val="20"/>
          <w:color w:val="auto"/>
        </w:rPr>
      </w:pPr>
    </w:p>
    <w:p>
      <w:pPr>
        <w:ind w:right="3939"/>
        <w:spacing w:after="0" w:line="248" w:lineRule="auto"/>
        <w:rPr>
          <w:sz w:val="20"/>
          <w:szCs w:val="20"/>
          <w:color w:val="auto"/>
        </w:rPr>
      </w:pPr>
      <w:r>
        <w:rPr>
          <w:rFonts w:ascii="Arial" w:cs="Arial" w:eastAsia="Arial" w:hAnsi="Arial"/>
          <w:sz w:val="16"/>
          <w:szCs w:val="16"/>
          <w:u w:val="single" w:color="auto"/>
          <w:color w:val="0000EE"/>
        </w:rPr>
        <w:t>Certification of the Principal Executive Officer and the Principal Financial Officer Information Regarding the Directors of the Company Executive Compensation Information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Beneficial Ownership of Common Stock</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Principal Accounting Fees and Services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127635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9039"/>
          </w:cols>
          <w:pgMar w:left="1420" w:top="132"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228" w:lineRule="exact"/>
        <w:rPr>
          <w:sz w:val="20"/>
          <w:szCs w:val="20"/>
          <w:color w:val="auto"/>
        </w:rPr>
      </w:pPr>
    </w:p>
    <w:p>
      <w:pPr>
        <w:ind w:right="100" w:firstLine="286"/>
        <w:spacing w:after="0" w:line="254" w:lineRule="auto"/>
        <w:rPr>
          <w:sz w:val="20"/>
          <w:szCs w:val="20"/>
          <w:color w:val="auto"/>
        </w:rPr>
      </w:pPr>
      <w:r>
        <w:rPr>
          <w:rFonts w:ascii="Arial" w:cs="Arial" w:eastAsia="Arial" w:hAnsi="Arial"/>
          <w:sz w:val="16"/>
          <w:szCs w:val="16"/>
          <w:color w:val="auto"/>
        </w:rPr>
        <w:t>Lennox International Inc. and its subsidiaries is a leading global provider of climate control solutions. The Company designs, manufactures and markets a broad range of products for the heating, ventilation, air conditioning and refrigeration (“HVACR”) markets. LII has leveraged its expertise to become an industry leader known for product innovation, quality and reliability. The Company’s products and services are sold through multiple distribution channels under well-established brand names including “Lennox,” “Armstrong Air,” “Ducane,” “Bohn,” “Larkin,” “Advanced Distributor Products,” “Service Experts” and others.</w:t>
      </w:r>
    </w:p>
    <w:p>
      <w:pPr>
        <w:spacing w:after="0" w:line="199" w:lineRule="exact"/>
        <w:rPr>
          <w:sz w:val="20"/>
          <w:szCs w:val="20"/>
          <w:color w:val="auto"/>
        </w:rPr>
      </w:pPr>
    </w:p>
    <w:p>
      <w:pPr>
        <w:jc w:val="both"/>
        <w:ind w:right="180" w:firstLine="286"/>
        <w:spacing w:after="0" w:line="256" w:lineRule="auto"/>
        <w:rPr>
          <w:sz w:val="20"/>
          <w:szCs w:val="20"/>
          <w:color w:val="auto"/>
        </w:rPr>
      </w:pPr>
      <w:r>
        <w:rPr>
          <w:rFonts w:ascii="Arial" w:cs="Arial" w:eastAsia="Arial" w:hAnsi="Arial"/>
          <w:sz w:val="16"/>
          <w:szCs w:val="16"/>
          <w:color w:val="auto"/>
        </w:rPr>
        <w:t>Shown below are the Company’s four business segments, the key products and brand names within each segment and 2003 net sales by segment. Segment financial data for the years 2001 through 2003, including financial information about foreign and domestic operations, is included in Note 4 of the Notes to Consolidated Financial Statements on pages 51 through 54 herein.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00" w:type="dxa"/>
            <w:vAlign w:val="bottom"/>
          </w:tcPr>
          <w:p>
            <w:pPr>
              <w:ind w:left="840"/>
              <w:spacing w:after="0"/>
              <w:rPr>
                <w:sz w:val="20"/>
                <w:szCs w:val="20"/>
                <w:color w:val="auto"/>
              </w:rPr>
            </w:pPr>
            <w:r>
              <w:rPr>
                <w:rFonts w:ascii="Arial" w:cs="Arial" w:eastAsia="Arial" w:hAnsi="Arial"/>
                <w:sz w:val="12"/>
                <w:szCs w:val="12"/>
                <w:b w:val="1"/>
                <w:bCs w:val="1"/>
                <w:color w:val="auto"/>
              </w:rPr>
              <w:t>Segment</w:t>
            </w:r>
          </w:p>
        </w:tc>
        <w:tc>
          <w:tcPr>
            <w:tcW w:w="320" w:type="dxa"/>
            <w:vAlign w:val="bottom"/>
          </w:tcPr>
          <w:p>
            <w:pPr>
              <w:spacing w:after="0"/>
              <w:rPr>
                <w:sz w:val="13"/>
                <w:szCs w:val="13"/>
                <w:color w:val="auto"/>
              </w:rPr>
            </w:pPr>
          </w:p>
        </w:tc>
        <w:tc>
          <w:tcPr>
            <w:tcW w:w="3220" w:type="dxa"/>
            <w:vAlign w:val="bottom"/>
          </w:tcPr>
          <w:p>
            <w:pPr>
              <w:ind w:left="1160"/>
              <w:spacing w:after="0"/>
              <w:rPr>
                <w:sz w:val="20"/>
                <w:szCs w:val="20"/>
                <w:color w:val="auto"/>
              </w:rPr>
            </w:pPr>
            <w:r>
              <w:rPr>
                <w:rFonts w:ascii="Arial" w:cs="Arial" w:eastAsia="Arial" w:hAnsi="Arial"/>
                <w:sz w:val="12"/>
                <w:szCs w:val="12"/>
                <w:b w:val="1"/>
                <w:bCs w:val="1"/>
                <w:color w:val="auto"/>
              </w:rPr>
              <w:t>Products/Services</w:t>
            </w:r>
          </w:p>
        </w:tc>
        <w:tc>
          <w:tcPr>
            <w:tcW w:w="320" w:type="dxa"/>
            <w:vAlign w:val="bottom"/>
          </w:tcPr>
          <w:p>
            <w:pPr>
              <w:spacing w:after="0"/>
              <w:rPr>
                <w:sz w:val="13"/>
                <w:szCs w:val="13"/>
                <w:color w:val="auto"/>
              </w:rPr>
            </w:pPr>
          </w:p>
        </w:tc>
        <w:tc>
          <w:tcPr>
            <w:tcW w:w="3240" w:type="dxa"/>
            <w:vAlign w:val="bottom"/>
          </w:tcPr>
          <w:p>
            <w:pPr>
              <w:ind w:left="1260"/>
              <w:spacing w:after="0"/>
              <w:rPr>
                <w:sz w:val="20"/>
                <w:szCs w:val="20"/>
                <w:color w:val="auto"/>
              </w:rPr>
            </w:pPr>
            <w:r>
              <w:rPr>
                <w:rFonts w:ascii="Arial" w:cs="Arial" w:eastAsia="Arial" w:hAnsi="Arial"/>
                <w:sz w:val="12"/>
                <w:szCs w:val="12"/>
                <w:b w:val="1"/>
                <w:bCs w:val="1"/>
                <w:color w:val="auto"/>
              </w:rPr>
              <w:t>Brand Names</w:t>
            </w:r>
          </w:p>
        </w:tc>
        <w:tc>
          <w:tcPr>
            <w:tcW w:w="320" w:type="dxa"/>
            <w:vAlign w:val="bottom"/>
          </w:tcPr>
          <w:p>
            <w:pPr>
              <w:spacing w:after="0"/>
              <w:rPr>
                <w:sz w:val="13"/>
                <w:szCs w:val="13"/>
                <w:color w:val="auto"/>
              </w:rPr>
            </w:pPr>
          </w:p>
        </w:tc>
        <w:tc>
          <w:tcPr>
            <w:tcW w:w="1920" w:type="dxa"/>
            <w:vAlign w:val="bottom"/>
            <w:gridSpan w:val="3"/>
          </w:tcPr>
          <w:p>
            <w:pPr>
              <w:jc w:val="right"/>
              <w:ind w:right="600"/>
              <w:spacing w:after="0"/>
              <w:rPr>
                <w:sz w:val="20"/>
                <w:szCs w:val="20"/>
                <w:color w:val="auto"/>
              </w:rPr>
            </w:pPr>
            <w:r>
              <w:rPr>
                <w:rFonts w:ascii="Arial" w:cs="Arial" w:eastAsia="Arial" w:hAnsi="Arial"/>
                <w:sz w:val="12"/>
                <w:szCs w:val="12"/>
                <w:b w:val="1"/>
                <w:bCs w:val="1"/>
                <w:color w:val="auto"/>
              </w:rPr>
              <w:t>2003 Net Sales</w:t>
            </w:r>
          </w:p>
        </w:tc>
        <w:tc>
          <w:tcPr>
            <w:tcW w:w="0" w:type="dxa"/>
            <w:vAlign w:val="bottom"/>
          </w:tcPr>
          <w:p>
            <w:pPr>
              <w:spacing w:after="0"/>
              <w:rPr>
                <w:sz w:val="1"/>
                <w:szCs w:val="1"/>
                <w:color w:val="auto"/>
              </w:rPr>
            </w:pPr>
          </w:p>
        </w:tc>
      </w:tr>
      <w:tr>
        <w:trPr>
          <w:trHeight w:val="83"/>
        </w:trPr>
        <w:tc>
          <w:tcPr>
            <w:tcW w:w="21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2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4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6"/>
                <w:szCs w:val="16"/>
                <w:color w:val="auto"/>
                <w:w w:val="97"/>
              </w:rPr>
              <w:t>Residential Heating &amp; Cooling</w:t>
            </w: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0"/>
              </w:rPr>
              <w:t>Furnaces, air conditioners, heat pumps, packaged</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Lennox, Armstrong Air, Ducane, Aire-Flo,</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$1,358.7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7"/>
              </w:rPr>
              <w:t>heating and cooling systems, indoor air quality</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Concord, Magic-Pak, Advanced Distributor</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equipment; pre-fabricated fireplaces and free</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Products (ADP), Superior, Whitfield, Security</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standing stoves</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Chimneys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6"/>
                <w:szCs w:val="16"/>
                <w:color w:val="auto"/>
                <w:w w:val="95"/>
              </w:rPr>
              <w:t>Commercial Heating &amp; Cooling</w:t>
            </w: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6"/>
              </w:rPr>
              <w:t>Unitary heating and air conditioning equipment</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Lennox</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508.4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and applied systems</w:t>
            </w:r>
          </w:p>
        </w:tc>
        <w:tc>
          <w:tcPr>
            <w:tcW w:w="3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2100" w:type="dxa"/>
            <w:vAlign w:val="bottom"/>
          </w:tcPr>
          <w:p>
            <w:pPr>
              <w:spacing w:after="0"/>
              <w:rPr>
                <w:sz w:val="20"/>
                <w:szCs w:val="20"/>
                <w:color w:val="auto"/>
              </w:rPr>
            </w:pPr>
            <w:r>
              <w:rPr>
                <w:rFonts w:ascii="Arial" w:cs="Arial" w:eastAsia="Arial" w:hAnsi="Arial"/>
                <w:sz w:val="16"/>
                <w:szCs w:val="16"/>
                <w:color w:val="auto"/>
              </w:rPr>
              <w:t>Total Heating &amp; Cooling</w:t>
            </w:r>
          </w:p>
        </w:tc>
        <w:tc>
          <w:tcPr>
            <w:tcW w:w="3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1,867.1</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6"/>
                <w:szCs w:val="16"/>
                <w:color w:val="auto"/>
              </w:rPr>
              <w:t>Service Experts</w:t>
            </w: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4"/>
              </w:rPr>
              <w:t>Sales, installation and service of residential and</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w w:val="92"/>
              </w:rPr>
              <w:t>Service Experts, various individual service center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937.1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4"/>
              </w:rPr>
              <w:t>light commercial heating and cooling equipment</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names</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6"/>
                <w:szCs w:val="16"/>
                <w:color w:val="auto"/>
              </w:rPr>
              <w:t>Refrigeration</w:t>
            </w: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Chillers, condensing units, unit coolers, fluid</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Bohn, Larkin, Climate Control, Chandler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387.2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w w:val="95"/>
              </w:rPr>
              <w:t>coolers, air cooled condensers and air handlers</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Refrigeration, Friga-Bohn, HK Refrigeration,</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Kirby, Heatcraft Worldwide Refrigeration,</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vMerge w:val="restart"/>
          </w:tcPr>
          <w:p>
            <w:pPr>
              <w:spacing w:after="0"/>
              <w:rPr>
                <w:sz w:val="20"/>
                <w:szCs w:val="20"/>
                <w:color w:val="auto"/>
              </w:rPr>
            </w:pPr>
            <w:r>
              <w:rPr>
                <w:rFonts w:ascii="Arial" w:cs="Arial" w:eastAsia="Arial" w:hAnsi="Arial"/>
                <w:sz w:val="16"/>
                <w:szCs w:val="16"/>
                <w:color w:val="auto"/>
              </w:rPr>
              <w:t>Eliminations</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Lovelocks, Frigus-Bohn</w:t>
            </w:r>
          </w:p>
        </w:tc>
        <w:tc>
          <w:tcPr>
            <w:tcW w:w="2240" w:type="dxa"/>
            <w:vAlign w:val="bottom"/>
            <w:gridSpan w:val="4"/>
            <w:vMerge w:val="restart"/>
          </w:tcPr>
          <w:p>
            <w:pPr>
              <w:jc w:val="right"/>
              <w:ind w:right="620"/>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56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$3,085.1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6825615</wp:posOffset>
            </wp:positionH>
            <wp:positionV relativeFrom="paragraph">
              <wp:posOffset>-34925</wp:posOffset>
            </wp:positionV>
            <wp:extent cx="1270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-34925</wp:posOffset>
            </wp:positionV>
            <wp:extent cx="12700" cy="3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right="40" w:firstLine="286"/>
        <w:spacing w:after="0" w:line="294" w:lineRule="auto"/>
        <w:rPr>
          <w:sz w:val="20"/>
          <w:szCs w:val="20"/>
          <w:color w:val="auto"/>
        </w:rPr>
      </w:pPr>
      <w:r>
        <w:rPr>
          <w:rFonts w:ascii="Arial" w:cs="Arial" w:eastAsia="Arial" w:hAnsi="Arial"/>
          <w:sz w:val="14"/>
          <w:szCs w:val="14"/>
          <w:color w:val="auto"/>
        </w:rPr>
        <w:t>The Company was founded in 1895 in Marshalltown, Iowa when Dave Lennox, the owner of a machine repair business for the railroads, successfully developed and patented a riveted steel coal-fired furnace, which was substantially more durable than the cast iron furnaces used at the time. The manufacturing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the Company was distributed to succeeding generations of his family. In 1991, the Company reincorporated as a Delaware corporation. On August 3, 1999, the Company completed the initial public offering of its common stock. The Company believes that a significant portion of the Company’s ownership currently is broadly distributed among approximately 100 descendants of, or persons otherwise related to, D.W. Norris.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Forward-Looking Statements</w:t>
      </w:r>
    </w:p>
    <w:p>
      <w:pPr>
        <w:spacing w:after="0" w:line="222" w:lineRule="exact"/>
        <w:rPr>
          <w:sz w:val="20"/>
          <w:szCs w:val="20"/>
          <w:color w:val="auto"/>
        </w:rPr>
      </w:pPr>
    </w:p>
    <w:p>
      <w:pPr>
        <w:ind w:firstLine="286"/>
        <w:spacing w:after="0" w:line="291" w:lineRule="auto"/>
        <w:rPr>
          <w:sz w:val="20"/>
          <w:szCs w:val="20"/>
          <w:color w:val="auto"/>
        </w:rPr>
      </w:pPr>
      <w:r>
        <w:rPr>
          <w:rFonts w:ascii="Arial" w:cs="Arial" w:eastAsia="Arial" w:hAnsi="Arial"/>
          <w:sz w:val="14"/>
          <w:szCs w:val="14"/>
          <w:color w:val="auto"/>
        </w:rPr>
        <w:t>Various sections of this Annual Report on Form 10-K (“Form 10-K”), including Business and Management’s Discussion and Analysis of Financial Condition and Results of Operations, contain forward-looking statements within the meaning of Section 27A of the Securities Act of 1933, as amended, and Section 21E of the Securities Exchange Act of 1934, as amended, that are based upon management’s beliefs, as well as assumptions made by and information currently available to management. All statements other than statements of historical fact included in this Form 10-K constitute forward-looking statements within the meaning of the Private Securities Litigation Reform Act of 1995, including but not limited to statements identified by the words “may,” “will,” “should,” “plan,” “predict,” “anticipate,” “believe,” “intend,” “estimate” and “expect” and similar expressions. Such statements reflect the current views of LII with respect to future events, based on what it believes are reasonable assumptions; however, such statements are subject to certain risks, uncertainties and assumptions. In addition to the specific uncertainties discussed elsewhere in this Form 10-K, the following risks and uncertainties may affect the Company’s performance and results of operations:</w:t>
      </w:r>
    </w:p>
    <w:p>
      <w:pPr>
        <w:spacing w:after="0" w:line="156" w:lineRule="exact"/>
        <w:rPr>
          <w:sz w:val="20"/>
          <w:szCs w:val="20"/>
          <w:color w:val="auto"/>
        </w:rPr>
      </w:pPr>
    </w:p>
    <w:p>
      <w:pPr>
        <w:ind w:left="460" w:right="220" w:hanging="119"/>
        <w:spacing w:after="0" w:line="336"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business is affected by a number of economic factors including the level of economic activity in the markets in which the Company operates, and a decline in economic activity typically results in a decline in new construction and replacement purchases, which could result in a decrease in LII’s sales and profitability;</w:t>
      </w:r>
    </w:p>
    <w:p>
      <w:pPr>
        <w:spacing w:after="0" w:line="145" w:lineRule="exact"/>
        <w:rPr>
          <w:rFonts w:ascii="Arial" w:cs="Arial" w:eastAsia="Arial" w:hAnsi="Arial"/>
          <w:sz w:val="14"/>
          <w:szCs w:val="14"/>
          <w:color w:val="auto"/>
        </w:rPr>
      </w:pPr>
    </w:p>
    <w:p>
      <w:pPr>
        <w:ind w:left="460" w:right="420" w:hanging="119"/>
        <w:spacing w:after="0" w:line="336"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demand for the Company’s products and services is strongly affected by the weather, and cooler than normal summers depress the Company’s sales of replacement air conditioning and refrigeration products and warmer than normal winters have the same effect on the Company’s heating products;</w:t>
      </w:r>
    </w:p>
    <w:p>
      <w:pPr>
        <w:spacing w:after="0" w:line="145" w:lineRule="exact"/>
        <w:rPr>
          <w:rFonts w:ascii="Arial" w:cs="Arial" w:eastAsia="Arial" w:hAnsi="Arial"/>
          <w:sz w:val="14"/>
          <w:szCs w:val="14"/>
          <w:color w:val="auto"/>
        </w:rPr>
      </w:pPr>
    </w:p>
    <w:p>
      <w:pPr>
        <w:ind w:left="460" w:hanging="119"/>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increases in the prices of raw materials or components, or problems in their availability, could increase the costs of its products and/or depress the Company’s sales;</w:t>
      </w:r>
    </w:p>
    <w:p>
      <w:pPr>
        <w:spacing w:after="0" w:line="268" w:lineRule="exact"/>
        <w:rPr>
          <w:rFonts w:ascii="Arial" w:cs="Arial" w:eastAsia="Arial" w:hAnsi="Arial"/>
          <w:sz w:val="14"/>
          <w:szCs w:val="14"/>
          <w:color w:val="auto"/>
        </w:rPr>
      </w:pPr>
    </w:p>
    <w:p>
      <w:pPr>
        <w:ind w:left="460" w:right="200" w:hanging="119"/>
        <w:spacing w:after="0" w:line="26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development, manufacture, sale and use of the Company’s products involve a risk of warranty and product liability claims, and such claims could be material and have an adverse effect on its future profitability;</w:t>
      </w:r>
    </w:p>
    <w:p>
      <w:pPr>
        <w:spacing w:after="0" w:line="191" w:lineRule="exact"/>
        <w:rPr>
          <w:rFonts w:ascii="Arial" w:cs="Arial" w:eastAsia="Arial" w:hAnsi="Arial"/>
          <w:sz w:val="16"/>
          <w:szCs w:val="16"/>
          <w:color w:val="auto"/>
        </w:rPr>
      </w:pPr>
    </w:p>
    <w:p>
      <w:pPr>
        <w:ind w:left="460" w:right="380" w:hanging="119"/>
        <w:spacing w:after="0" w:line="336"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incurs the risk of liability claims for the installation and service of heating and cooling products with its Company-owned dealer service centers, and if these claims exceed the limits of the Company’s product liability insurance policies it may result in material costs that could have an adverse effect on future profitability;</w:t>
      </w:r>
    </w:p>
    <w:p>
      <w:pPr>
        <w:spacing w:after="0" w:line="145" w:lineRule="exact"/>
        <w:rPr>
          <w:rFonts w:ascii="Arial" w:cs="Arial" w:eastAsia="Arial" w:hAnsi="Arial"/>
          <w:sz w:val="14"/>
          <w:szCs w:val="14"/>
          <w:color w:val="auto"/>
        </w:rPr>
      </w:pPr>
    </w:p>
    <w:p>
      <w:pPr>
        <w:ind w:left="460" w:hanging="119"/>
        <w:spacing w:after="0" w:line="25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the Company will depend in part on its ability to integrate and operate acquired businesses profitably and to identify and implement opportunities for cost savings; any future determination that a significant impairment of the value of the Company’s intangible assets has occurred could have a material adverse effect on its results of operations;</w:t>
      </w:r>
    </w:p>
    <w:p>
      <w:pPr>
        <w:spacing w:after="0" w:line="198" w:lineRule="exact"/>
        <w:rPr>
          <w:rFonts w:ascii="Arial" w:cs="Arial" w:eastAsia="Arial" w:hAnsi="Arial"/>
          <w:sz w:val="16"/>
          <w:szCs w:val="16"/>
          <w:color w:val="auto"/>
        </w:rPr>
      </w:pPr>
    </w:p>
    <w:p>
      <w:pPr>
        <w:ind w:left="460" w:right="220" w:hanging="119"/>
        <w:spacing w:after="0" w:line="310"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December 31, 2003 the Company had $362.3 million of consolidated indebtedness outstanding, and the Company’s level of indebtedness may have important consequences for its operations, including that it may have to use a large portion of its consolidated cash flow to pay principal and interest on its indebtedness and that it may have difficulty borrowing money in the future for working capital, capital expenditures, acquisitions or other purposes;</w:t>
      </w:r>
    </w:p>
    <w:p>
      <w:pPr>
        <w:spacing w:after="0" w:line="163" w:lineRule="exact"/>
        <w:rPr>
          <w:rFonts w:ascii="Arial" w:cs="Arial" w:eastAsia="Arial" w:hAnsi="Arial"/>
          <w:sz w:val="14"/>
          <w:szCs w:val="14"/>
          <w:color w:val="auto"/>
        </w:rPr>
      </w:pPr>
    </w:p>
    <w:p>
      <w:pPr>
        <w:ind w:left="460" w:right="220" w:hanging="119"/>
        <w:spacing w:after="0" w:line="26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operates in very competitive markets, and competitive factors could cause the Company to reduce its prices or lose market share and could negatively affect its cash flow;</w:t>
      </w:r>
    </w:p>
    <w:p>
      <w:pPr>
        <w:spacing w:after="0" w:line="191" w:lineRule="exact"/>
        <w:rPr>
          <w:rFonts w:ascii="Arial" w:cs="Arial" w:eastAsia="Arial" w:hAnsi="Arial"/>
          <w:sz w:val="16"/>
          <w:szCs w:val="16"/>
          <w:color w:val="auto"/>
        </w:rPr>
      </w:pPr>
    </w:p>
    <w:p>
      <w:pPr>
        <w:ind w:left="460" w:right="40" w:hanging="119"/>
        <w:spacing w:after="0" w:line="26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future success will depend upon its continued investment in research and new product development and its ability to commercialize new technological advances in the HVACR industry;</w:t>
      </w:r>
    </w:p>
    <w:p>
      <w:pPr>
        <w:spacing w:after="0" w:line="191" w:lineRule="exact"/>
        <w:rPr>
          <w:rFonts w:ascii="Arial" w:cs="Arial" w:eastAsia="Arial" w:hAnsi="Arial"/>
          <w:sz w:val="16"/>
          <w:szCs w:val="16"/>
          <w:color w:val="auto"/>
        </w:rPr>
      </w:pPr>
    </w:p>
    <w:p>
      <w:pPr>
        <w:ind w:left="460" w:right="20" w:hanging="119"/>
        <w:spacing w:after="0" w:line="336"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faces a risk of work stoppage and other labor relations matters because a significant percentage of its workforce is unionized, and the results of future negotiations with the unions, including the effect of any production interruptions or labor stoppages, could have an adverse effect on the Company’s future financial results;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60" w:hanging="119"/>
        <w:spacing w:after="0" w:line="26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subject to extensive and changing federal, state and local laws and regulations designed to protect the environment, and these laws and regulations could impose liability for remediation costs and civil or criminal penalties for non-compliance.</w:t>
      </w:r>
    </w:p>
    <w:p>
      <w:pPr>
        <w:spacing w:after="0" w:line="192" w:lineRule="exact"/>
        <w:rPr>
          <w:sz w:val="20"/>
          <w:szCs w:val="20"/>
          <w:color w:val="auto"/>
        </w:rPr>
      </w:pPr>
    </w:p>
    <w:p>
      <w:pPr>
        <w:jc w:val="both"/>
        <w:ind w:right="260" w:firstLine="286"/>
        <w:spacing w:after="0" w:line="256" w:lineRule="auto"/>
        <w:rPr>
          <w:sz w:val="20"/>
          <w:szCs w:val="20"/>
          <w:color w:val="auto"/>
        </w:rPr>
      </w:pPr>
      <w:r>
        <w:rPr>
          <w:rFonts w:ascii="Arial" w:cs="Arial" w:eastAsia="Arial" w:hAnsi="Arial"/>
          <w:sz w:val="16"/>
          <w:szCs w:val="16"/>
          <w:color w:val="auto"/>
        </w:rPr>
        <w:t>Should one or more of these risks or uncertainties materialize, or should underlying assumptions prove incorrect, actual results may differ materially from those in the forward-looking statements. The Company disclaims any intention or obligation to update or review any forward-looking statements or information,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Strategy</w:t>
      </w:r>
    </w:p>
    <w:p>
      <w:pPr>
        <w:spacing w:after="0" w:line="228" w:lineRule="exact"/>
        <w:rPr>
          <w:sz w:val="20"/>
          <w:szCs w:val="20"/>
          <w:color w:val="auto"/>
        </w:rPr>
      </w:pPr>
    </w:p>
    <w:p>
      <w:pPr>
        <w:ind w:right="500" w:firstLine="286"/>
        <w:spacing w:after="0" w:line="264" w:lineRule="auto"/>
        <w:rPr>
          <w:sz w:val="20"/>
          <w:szCs w:val="20"/>
          <w:color w:val="auto"/>
        </w:rPr>
      </w:pPr>
      <w:r>
        <w:rPr>
          <w:rFonts w:ascii="Arial" w:cs="Arial" w:eastAsia="Arial" w:hAnsi="Arial"/>
          <w:sz w:val="16"/>
          <w:szCs w:val="16"/>
          <w:color w:val="auto"/>
        </w:rPr>
        <w:t>The Company’s business strategy is designed to capitalize on its competitive strengths in order to expand its market share and profitability in the HVACR markets. The key elements of this strategy include:</w:t>
      </w:r>
    </w:p>
    <w:p>
      <w:pPr>
        <w:spacing w:after="0" w:line="38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Improve Profitability of Service Experts</w:t>
      </w:r>
    </w:p>
    <w:p>
      <w:pPr>
        <w:spacing w:after="0" w:line="222" w:lineRule="exact"/>
        <w:rPr>
          <w:sz w:val="20"/>
          <w:szCs w:val="20"/>
          <w:color w:val="auto"/>
        </w:rPr>
      </w:pPr>
    </w:p>
    <w:p>
      <w:pPr>
        <w:ind w:firstLine="286"/>
        <w:spacing w:after="0" w:line="291" w:lineRule="auto"/>
        <w:rPr>
          <w:sz w:val="20"/>
          <w:szCs w:val="20"/>
          <w:color w:val="auto"/>
        </w:rPr>
      </w:pPr>
      <w:r>
        <w:rPr>
          <w:rFonts w:ascii="Arial" w:cs="Arial" w:eastAsia="Arial" w:hAnsi="Arial"/>
          <w:sz w:val="14"/>
          <w:szCs w:val="14"/>
          <w:color w:val="auto"/>
        </w:rPr>
        <w:t>The acquisition of heating and air conditioning contractors, or dealer service centers, in the United States and Canada has enabled the Company to extend its distribution directly to the end consumer, thereby permitting it to participate in the revenues and margins available at the retail level while strengthening and protecting its brand equity. The Company has assembled an experienced management team to manage the dealer operations and has developed a portfolio of management procedures and best practices, training programs, and goods and services that it believes will enhance the quality, effectiveness and profitability of dealer operations. In April 2004, the Company announced a plan to focus Service Experts primarily on service and replacement opportunities in the residential and light commercial markets in major metropolitan areas. As a result, 47 dealer service centers that did not fit this strategy were identified for divestiture. Additional information on the turnaround plan is provided in “Item 7 — Management’s Discussion and Analysis of Financial Condition and Results of Operations — Subsequent Events” on page 31. The Company is focused on establishing best practices and processes and improving the profitability of the approximately 130 dealer service centers that comprise Service Expert’s ongoing operations. While the Company believes the retail sales and service market represents a significant growth opportunity because this market is large and highly fragmented, comprised of approximately 40,000 contractors, no further significant acquisitions are currently planned.</w:t>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Exploit Global Refrigeration Opportunities</w:t>
      </w:r>
    </w:p>
    <w:p>
      <w:pPr>
        <w:spacing w:after="0" w:line="222" w:lineRule="exact"/>
        <w:rPr>
          <w:sz w:val="20"/>
          <w:szCs w:val="20"/>
          <w:color w:val="auto"/>
        </w:rPr>
      </w:pPr>
    </w:p>
    <w:p>
      <w:pPr>
        <w:ind w:right="120" w:firstLine="286"/>
        <w:spacing w:after="0" w:line="254" w:lineRule="auto"/>
        <w:rPr>
          <w:sz w:val="20"/>
          <w:szCs w:val="20"/>
          <w:color w:val="auto"/>
        </w:rPr>
      </w:pPr>
      <w:r>
        <w:rPr>
          <w:rFonts w:ascii="Arial" w:cs="Arial" w:eastAsia="Arial" w:hAnsi="Arial"/>
          <w:sz w:val="16"/>
          <w:szCs w:val="16"/>
          <w:color w:val="auto"/>
        </w:rPr>
        <w:t>The Company believes that increasing international demand for commercial refrigeration products presents substantial opportunities. For example, there is an increasing need for equipment to preserve perishable food products. Refrigeration products generally have similar design and applications globally, and LII believes it can use its domestic product knowledge and business model to grow internationally. To take advantage of international opportunities, the Company has made investments in manufacturing facilities in Europe, Latin America, South America and the Asia Pacific region through acquisitions and joint ventures.</w:t>
      </w: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Increase Heating &amp; Cooling Market Share in North America</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intends to increase its share of the residential and light commercial HVAC market in North America by:</w:t>
      </w:r>
    </w:p>
    <w:p>
      <w:pPr>
        <w:spacing w:after="0" w:line="198" w:lineRule="exact"/>
        <w:rPr>
          <w:sz w:val="20"/>
          <w:szCs w:val="20"/>
          <w:color w:val="auto"/>
        </w:rPr>
      </w:pPr>
    </w:p>
    <w:p>
      <w:pPr>
        <w:ind w:left="460" w:hanging="11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selectively expanding its “Lennox” independent dealer network;</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introducing innovative new products and expanding the offering of Indoor Air Quality (IAQ) related products;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promoting sales of its “Aire-Flo” and other residential heating and cooling brands to its existing network of “Lennox” dealers as a second line; and</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the geographic market for the “Armstrong Air” and “Ducane” brands of residential heating and cooling products.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Product Innovation and Manufacturing Efficiency</w:t>
      </w:r>
    </w:p>
    <w:p>
      <w:pPr>
        <w:spacing w:after="0" w:line="228" w:lineRule="exact"/>
        <w:rPr>
          <w:sz w:val="20"/>
          <w:szCs w:val="20"/>
          <w:color w:val="auto"/>
        </w:rPr>
      </w:pPr>
    </w:p>
    <w:p>
      <w:pPr>
        <w:ind w:firstLine="286"/>
        <w:spacing w:after="0" w:line="254" w:lineRule="auto"/>
        <w:rPr>
          <w:sz w:val="20"/>
          <w:szCs w:val="20"/>
          <w:color w:val="auto"/>
        </w:rPr>
      </w:pPr>
      <w:r>
        <w:rPr>
          <w:rFonts w:ascii="Arial" w:cs="Arial" w:eastAsia="Arial" w:hAnsi="Arial"/>
          <w:sz w:val="16"/>
          <w:szCs w:val="16"/>
          <w:color w:val="auto"/>
        </w:rPr>
        <w:t>An important part of LII’s growth strategy is to continue to invest in research and new product development. The Company has designated a number of its facilities as “centers for excellence” that are responsible for the research and development of core competencies vital to its success, such as advanced heat transfer, indoor air quality and materials. Technological advances are disseminated from these “centers for excellence” to all of LII’s operating divisions. In addition, LII has embraced Lean-manufacturing principles across its manufacturing operations, accompanied by initiatives to achieve high sigma quality.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Services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Residential Heating &amp; Cooling</w:t>
      </w:r>
    </w:p>
    <w:p>
      <w:pPr>
        <w:spacing w:after="0" w:line="222" w:lineRule="exact"/>
        <w:rPr>
          <w:sz w:val="20"/>
          <w:szCs w:val="20"/>
          <w:color w:val="auto"/>
        </w:rPr>
      </w:pPr>
    </w:p>
    <w:p>
      <w:pPr>
        <w:ind w:right="60" w:firstLine="286"/>
        <w:spacing w:after="0" w:line="301" w:lineRule="auto"/>
        <w:rPr>
          <w:sz w:val="20"/>
          <w:szCs w:val="20"/>
          <w:color w:val="auto"/>
        </w:rPr>
      </w:pPr>
      <w:r>
        <w:rPr>
          <w:rFonts w:ascii="Arial" w:cs="Arial" w:eastAsia="Arial" w:hAnsi="Arial"/>
          <w:sz w:val="14"/>
          <w:szCs w:val="14"/>
          <w:i w:val="1"/>
          <w:iCs w:val="1"/>
          <w:color w:val="auto"/>
        </w:rPr>
        <w:t xml:space="preserve">Heating &amp; Cooling Products. </w:t>
      </w:r>
      <w:r>
        <w:rPr>
          <w:rFonts w:ascii="Arial" w:cs="Arial" w:eastAsia="Arial" w:hAnsi="Arial"/>
          <w:sz w:val="14"/>
          <w:szCs w:val="14"/>
          <w:color w:val="auto"/>
        </w:rPr>
        <w:t>The Company manufactures and markets a broad range of furnaces, air conditioners, heat pumps, packaged heating and cooling systems,</w:t>
      </w:r>
      <w:r>
        <w:rPr>
          <w:rFonts w:ascii="Arial" w:cs="Arial" w:eastAsia="Arial" w:hAnsi="Arial"/>
          <w:sz w:val="14"/>
          <w:szCs w:val="14"/>
          <w:i w:val="1"/>
          <w:iCs w:val="1"/>
          <w:color w:val="auto"/>
        </w:rPr>
        <w:t xml:space="preserve"> </w:t>
      </w:r>
      <w:r>
        <w:rPr>
          <w:rFonts w:ascii="Arial" w:cs="Arial" w:eastAsia="Arial" w:hAnsi="Arial"/>
          <w:sz w:val="14"/>
          <w:szCs w:val="14"/>
          <w:color w:val="auto"/>
        </w:rPr>
        <w:t>replacement parts and related products for both the residential replacement and new construction markets in the United States and Canada. These products are available in a variety of product designs and efficiency levels at a range of price points intended to provide a complete line of home comfort systems. The Company markets these products under multiple brand names and believes that by maintaining a broad product line with multiple brand names, it can address different market segments and penetrate multiple distribution channels.</w:t>
      </w:r>
    </w:p>
    <w:p>
      <w:pPr>
        <w:spacing w:after="0" w:line="170" w:lineRule="exact"/>
        <w:rPr>
          <w:sz w:val="20"/>
          <w:szCs w:val="20"/>
          <w:color w:val="auto"/>
        </w:rPr>
      </w:pPr>
    </w:p>
    <w:p>
      <w:pPr>
        <w:jc w:val="both"/>
        <w:ind w:right="300" w:firstLine="286"/>
        <w:spacing w:after="0" w:line="256" w:lineRule="auto"/>
        <w:rPr>
          <w:sz w:val="20"/>
          <w:szCs w:val="20"/>
          <w:color w:val="auto"/>
        </w:rPr>
      </w:pPr>
      <w:r>
        <w:rPr>
          <w:rFonts w:ascii="Arial" w:cs="Arial" w:eastAsia="Arial" w:hAnsi="Arial"/>
          <w:sz w:val="16"/>
          <w:szCs w:val="16"/>
          <w:color w:val="auto"/>
        </w:rPr>
        <w:t>The Company sells its “Lennox” brand of residential heating and air conditioning products directly to a network of installing dealers, which currently numbers approximately 7,000, making it one of the largest wholesale distributors of these products in North America. The Company’s “Armstrong Air” and “Ducane” brands are sold through third party distributors.</w:t>
      </w:r>
    </w:p>
    <w:p>
      <w:pPr>
        <w:spacing w:after="0" w:line="198" w:lineRule="exact"/>
        <w:rPr>
          <w:sz w:val="20"/>
          <w:szCs w:val="20"/>
          <w:color w:val="auto"/>
        </w:rPr>
      </w:pPr>
    </w:p>
    <w:p>
      <w:pPr>
        <w:ind w:firstLine="286"/>
        <w:spacing w:after="0" w:line="301" w:lineRule="auto"/>
        <w:rPr>
          <w:sz w:val="20"/>
          <w:szCs w:val="20"/>
          <w:color w:val="auto"/>
        </w:rPr>
      </w:pPr>
      <w:r>
        <w:rPr>
          <w:rFonts w:ascii="Arial" w:cs="Arial" w:eastAsia="Arial" w:hAnsi="Arial"/>
          <w:sz w:val="14"/>
          <w:szCs w:val="14"/>
          <w:color w:val="auto"/>
        </w:rPr>
        <w:t>The Company’s Advanced Distributor Products division builds evaporator coils, unit heaters and air handlers under the “Advanced Distributor Products” brand as well as the “Lennox,” “Armstrong Air” and “Ducane” brands. This division supplies the Company with components for its heating and cooling products, and produces evaporator coils to be used in connection with competitors’ heating and cooling products and as an alternative to such competitors’ brand name components. The Company has been able to achieve a significant share of the market for evaporator coils through the application of its technological and manufacturing skills, and customer service capabilities.</w:t>
      </w:r>
    </w:p>
    <w:p>
      <w:pPr>
        <w:spacing w:after="0" w:line="170" w:lineRule="exact"/>
        <w:rPr>
          <w:sz w:val="20"/>
          <w:szCs w:val="20"/>
          <w:color w:val="auto"/>
        </w:rPr>
      </w:pPr>
    </w:p>
    <w:p>
      <w:pPr>
        <w:ind w:right="60" w:firstLine="286"/>
        <w:spacing w:after="0" w:line="310" w:lineRule="auto"/>
        <w:rPr>
          <w:sz w:val="20"/>
          <w:szCs w:val="20"/>
          <w:color w:val="auto"/>
        </w:rPr>
      </w:pPr>
      <w:r>
        <w:rPr>
          <w:rFonts w:ascii="Arial" w:cs="Arial" w:eastAsia="Arial" w:hAnsi="Arial"/>
          <w:sz w:val="14"/>
          <w:szCs w:val="14"/>
          <w:i w:val="1"/>
          <w:iCs w:val="1"/>
          <w:color w:val="auto"/>
        </w:rPr>
        <w:t xml:space="preserve">Hearth Products. </w:t>
      </w:r>
      <w:r>
        <w:rPr>
          <w:rFonts w:ascii="Arial" w:cs="Arial" w:eastAsia="Arial" w:hAnsi="Arial"/>
          <w:sz w:val="14"/>
          <w:szCs w:val="14"/>
          <w:color w:val="auto"/>
        </w:rPr>
        <w:t>The Company’s Hearth Products include prefabricated gas, wood burning and electric fireplaces; free standing pellet and gas stoves, fireplace inserts, gas logs</w:t>
      </w:r>
      <w:r>
        <w:rPr>
          <w:rFonts w:ascii="Arial" w:cs="Arial" w:eastAsia="Arial" w:hAnsi="Arial"/>
          <w:sz w:val="14"/>
          <w:szCs w:val="14"/>
          <w:i w:val="1"/>
          <w:iCs w:val="1"/>
          <w:color w:val="auto"/>
        </w:rPr>
        <w:t xml:space="preserve"> </w:t>
      </w:r>
      <w:r>
        <w:rPr>
          <w:rFonts w:ascii="Arial" w:cs="Arial" w:eastAsia="Arial" w:hAnsi="Arial"/>
          <w:sz w:val="14"/>
          <w:szCs w:val="14"/>
          <w:color w:val="auto"/>
        </w:rPr>
        <w:t>and accessories. Many of the fireplaces are built with a blower or fan option and are efficient heat sources as well as attractive amenities to the home. The Company currently markets its Hearth Products under the “Lennox,” “Superior,” “Whitfield,” “Earth Stove” and “Security Chimneys” brand names.</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Commercial Heating &amp; Cooling</w:t>
      </w:r>
    </w:p>
    <w:p>
      <w:pPr>
        <w:spacing w:after="0" w:line="222" w:lineRule="exact"/>
        <w:rPr>
          <w:sz w:val="20"/>
          <w:szCs w:val="20"/>
          <w:color w:val="auto"/>
        </w:rPr>
      </w:pPr>
    </w:p>
    <w:p>
      <w:pPr>
        <w:ind w:right="140" w:firstLine="286"/>
        <w:spacing w:after="0" w:line="301" w:lineRule="auto"/>
        <w:rPr>
          <w:sz w:val="20"/>
          <w:szCs w:val="20"/>
          <w:color w:val="auto"/>
        </w:rPr>
      </w:pPr>
      <w:r>
        <w:rPr>
          <w:rFonts w:ascii="Arial" w:cs="Arial" w:eastAsia="Arial" w:hAnsi="Arial"/>
          <w:sz w:val="14"/>
          <w:szCs w:val="14"/>
          <w:i w:val="1"/>
          <w:iCs w:val="1"/>
          <w:color w:val="auto"/>
        </w:rPr>
        <w:t xml:space="preserve">North America. </w:t>
      </w:r>
      <w:r>
        <w:rPr>
          <w:rFonts w:ascii="Arial" w:cs="Arial" w:eastAsia="Arial" w:hAnsi="Arial"/>
          <w:sz w:val="14"/>
          <w:szCs w:val="14"/>
          <w:color w:val="auto"/>
        </w:rPr>
        <w:t>In North America the Company’s heating and cooling equipment is used in light commercial applications such as low-rise office buildings, restaurants, retail</w:t>
      </w:r>
      <w:r>
        <w:rPr>
          <w:rFonts w:ascii="Arial" w:cs="Arial" w:eastAsia="Arial" w:hAnsi="Arial"/>
          <w:sz w:val="14"/>
          <w:szCs w:val="14"/>
          <w:i w:val="1"/>
          <w:iCs w:val="1"/>
          <w:color w:val="auto"/>
        </w:rPr>
        <w:t xml:space="preserve"> </w:t>
      </w:r>
      <w:r>
        <w:rPr>
          <w:rFonts w:ascii="Arial" w:cs="Arial" w:eastAsia="Arial" w:hAnsi="Arial"/>
          <w:sz w:val="14"/>
          <w:szCs w:val="14"/>
          <w:color w:val="auto"/>
        </w:rPr>
        <w:t>centers, churches and schools. The Company’s product offerings for these applications include rooftop units which range from two to 40 tons of cooling capacity and split system/air handler combinations, which range from 1.5 to 20 tons. The Company believes the success of its products is attributable to efficiency, design flexibility, low life cycle cost, ease of service and advanced control technology. In North America, the Company sells unitary equipment as opposed to larger applied systems.</w:t>
      </w:r>
    </w:p>
    <w:p>
      <w:pPr>
        <w:spacing w:after="0" w:line="170" w:lineRule="exact"/>
        <w:rPr>
          <w:sz w:val="20"/>
          <w:szCs w:val="20"/>
          <w:color w:val="auto"/>
        </w:rPr>
      </w:pPr>
    </w:p>
    <w:p>
      <w:pPr>
        <w:ind w:right="160" w:firstLine="286"/>
        <w:spacing w:after="0" w:line="254" w:lineRule="auto"/>
        <w:rPr>
          <w:sz w:val="20"/>
          <w:szCs w:val="20"/>
          <w:color w:val="auto"/>
        </w:rPr>
      </w:pPr>
      <w:r>
        <w:rPr>
          <w:rFonts w:ascii="Arial" w:cs="Arial" w:eastAsia="Arial" w:hAnsi="Arial"/>
          <w:sz w:val="16"/>
          <w:szCs w:val="16"/>
          <w:i w:val="1"/>
          <w:iCs w:val="1"/>
          <w:color w:val="auto"/>
        </w:rPr>
        <w:t xml:space="preserve">Europe. </w:t>
      </w:r>
      <w:r>
        <w:rPr>
          <w:rFonts w:ascii="Arial" w:cs="Arial" w:eastAsia="Arial" w:hAnsi="Arial"/>
          <w:sz w:val="16"/>
          <w:szCs w:val="16"/>
          <w:color w:val="auto"/>
        </w:rPr>
        <w:t>The Company manufactures and sells unitary products, which range from two to 30 tons and applied systems in varying size ranges. LII’s European products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rooftop units, chillers, air handlers, fan coils and small packaged units, and serve medium-rise commercial buildings, shopping malls, other retail and entertainment buildings, institutional applications and other field-engineered applications. LII markets these products through both direct and indirect distribution channels in Europe, Russia and the Middle East.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60"/>
          </w:cols>
          <w:pgMar w:left="240" w:top="386" w:right="2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Service Experts</w:t>
      </w:r>
    </w:p>
    <w:p>
      <w:pPr>
        <w:spacing w:after="0" w:line="222" w:lineRule="exact"/>
        <w:rPr>
          <w:sz w:val="20"/>
          <w:szCs w:val="20"/>
          <w:color w:val="auto"/>
        </w:rPr>
      </w:pPr>
    </w:p>
    <w:p>
      <w:pPr>
        <w:jc w:val="both"/>
        <w:ind w:right="440" w:firstLine="286"/>
        <w:spacing w:after="0" w:line="256" w:lineRule="auto"/>
        <w:rPr>
          <w:sz w:val="20"/>
          <w:szCs w:val="20"/>
          <w:color w:val="auto"/>
        </w:rPr>
      </w:pPr>
      <w:r>
        <w:rPr>
          <w:rFonts w:ascii="Arial" w:cs="Arial" w:eastAsia="Arial" w:hAnsi="Arial"/>
          <w:sz w:val="16"/>
          <w:szCs w:val="16"/>
          <w:color w:val="auto"/>
        </w:rPr>
        <w:t>In September 1998, the Company initiated a program to acquire dealer service centers in metropolitan areas in the United States and Canada to provide heating and cooling products and services directly to end consumers. The Company greatly expanded this program with the acquisition of Service Experts Inc., a consolidator of heating and cooling contractors, in January 2000.</w:t>
      </w:r>
    </w:p>
    <w:p>
      <w:pPr>
        <w:spacing w:after="0" w:line="198" w:lineRule="exact"/>
        <w:rPr>
          <w:sz w:val="20"/>
          <w:szCs w:val="20"/>
          <w:color w:val="auto"/>
        </w:rPr>
      </w:pPr>
    </w:p>
    <w:p>
      <w:pPr>
        <w:ind w:firstLine="286"/>
        <w:spacing w:after="0" w:line="310" w:lineRule="auto"/>
        <w:rPr>
          <w:sz w:val="20"/>
          <w:szCs w:val="20"/>
          <w:color w:val="auto"/>
        </w:rPr>
      </w:pPr>
      <w:r>
        <w:rPr>
          <w:rFonts w:ascii="Arial" w:cs="Arial" w:eastAsia="Arial" w:hAnsi="Arial"/>
          <w:sz w:val="14"/>
          <w:szCs w:val="14"/>
          <w:color w:val="auto"/>
        </w:rPr>
        <w:t>Through approximately 130 Company-owned dealer service centers in its Service Experts operation, the Company provides installation, preventive maintenance, emergency repair services, and the replacement of heating and cooling systems directly to both residential and light commercial customers. In connection with these services, the Company sells a wide range of mechanical and electrical equipment, parts and supplies under both Lennox International brands as well as other brand names.</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Refrigeration</w:t>
      </w:r>
    </w:p>
    <w:p>
      <w:pPr>
        <w:spacing w:after="0" w:line="222" w:lineRule="exact"/>
        <w:rPr>
          <w:sz w:val="20"/>
          <w:szCs w:val="20"/>
          <w:color w:val="auto"/>
        </w:rPr>
      </w:pPr>
    </w:p>
    <w:p>
      <w:pPr>
        <w:ind w:right="180" w:firstLine="286"/>
        <w:spacing w:after="0" w:line="264" w:lineRule="auto"/>
        <w:rPr>
          <w:sz w:val="20"/>
          <w:szCs w:val="20"/>
          <w:color w:val="auto"/>
        </w:rPr>
      </w:pPr>
      <w:r>
        <w:rPr>
          <w:rFonts w:ascii="Arial" w:cs="Arial" w:eastAsia="Arial" w:hAnsi="Arial"/>
          <w:sz w:val="16"/>
          <w:szCs w:val="16"/>
          <w:color w:val="auto"/>
        </w:rPr>
        <w:t>The Company manufactures and markets equipment for the global commercial refrigeration market through subsidiaries organized under the Heatcraft Worldwide Refrigeration name.</w:t>
      </w:r>
    </w:p>
    <w:p>
      <w:pPr>
        <w:spacing w:after="0" w:line="192" w:lineRule="exact"/>
        <w:rPr>
          <w:sz w:val="20"/>
          <w:szCs w:val="20"/>
          <w:color w:val="auto"/>
        </w:rPr>
      </w:pPr>
    </w:p>
    <w:p>
      <w:pPr>
        <w:ind w:right="100" w:firstLine="286"/>
        <w:spacing w:after="0" w:line="254" w:lineRule="auto"/>
        <w:rPr>
          <w:sz w:val="20"/>
          <w:szCs w:val="20"/>
          <w:color w:val="auto"/>
        </w:rPr>
      </w:pPr>
      <w:r>
        <w:rPr>
          <w:rFonts w:ascii="Arial" w:cs="Arial" w:eastAsia="Arial" w:hAnsi="Arial"/>
          <w:sz w:val="16"/>
          <w:szCs w:val="16"/>
          <w:i w:val="1"/>
          <w:iCs w:val="1"/>
          <w:color w:val="auto"/>
        </w:rPr>
        <w:t xml:space="preserve">North America. </w:t>
      </w:r>
      <w:r>
        <w:rPr>
          <w:rFonts w:ascii="Arial" w:cs="Arial" w:eastAsia="Arial" w:hAnsi="Arial"/>
          <w:sz w:val="16"/>
          <w:szCs w:val="16"/>
          <w:color w:val="auto"/>
        </w:rPr>
        <w:t>The Company is a leading manufacturer of commercial refrigeration products in North America. The Company’s refrigeration products include condensing units,</w:t>
      </w:r>
      <w:r>
        <w:rPr>
          <w:rFonts w:ascii="Arial" w:cs="Arial" w:eastAsia="Arial" w:hAnsi="Arial"/>
          <w:sz w:val="16"/>
          <w:szCs w:val="16"/>
          <w:i w:val="1"/>
          <w:iCs w:val="1"/>
          <w:color w:val="auto"/>
        </w:rPr>
        <w:t xml:space="preserve"> </w:t>
      </w:r>
      <w:r>
        <w:rPr>
          <w:rFonts w:ascii="Arial" w:cs="Arial" w:eastAsia="Arial" w:hAnsi="Arial"/>
          <w:sz w:val="16"/>
          <w:szCs w:val="16"/>
          <w:color w:val="auto"/>
        </w:rPr>
        <w:t>unit coolers, fluid coolers, air cooled condensers and air handlers. These products are sold for cold storage applications, primarily to preserve food and other perishables, and are used by supermarkets, convenience stores, restaurants, warehouses and distribution centers. As part of its sale of commercial refrigeration products, the Company routinely provides application engineering for consulting engineers, contractors and others.</w:t>
      </w:r>
    </w:p>
    <w:p>
      <w:pPr>
        <w:spacing w:after="0" w:line="199" w:lineRule="exact"/>
        <w:rPr>
          <w:sz w:val="20"/>
          <w:szCs w:val="20"/>
          <w:color w:val="auto"/>
        </w:rPr>
      </w:pPr>
    </w:p>
    <w:p>
      <w:pPr>
        <w:ind w:firstLine="286"/>
        <w:spacing w:after="0" w:line="294" w:lineRule="auto"/>
        <w:rPr>
          <w:sz w:val="20"/>
          <w:szCs w:val="20"/>
          <w:color w:val="auto"/>
        </w:rPr>
      </w:pPr>
      <w:r>
        <w:rPr>
          <w:rFonts w:ascii="Arial" w:cs="Arial" w:eastAsia="Arial" w:hAnsi="Arial"/>
          <w:sz w:val="14"/>
          <w:szCs w:val="14"/>
          <w:i w:val="1"/>
          <w:iCs w:val="1"/>
          <w:color w:val="auto"/>
        </w:rPr>
        <w:t xml:space="preserve">International. </w:t>
      </w:r>
      <w:r>
        <w:rPr>
          <w:rFonts w:ascii="Arial" w:cs="Arial" w:eastAsia="Arial" w:hAnsi="Arial"/>
          <w:sz w:val="14"/>
          <w:szCs w:val="14"/>
          <w:color w:val="auto"/>
        </w:rPr>
        <w:t>LII manufactures and markets refrigeration products including small chillers, unit coolers, air-cooled condensers, fluid coolers and refrigeration racks. These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are sold to distributors, installing contractors and original equipment manufacturers. The Company has manufacturing locations in Europe, Australia, Brazil and China. The Company also owns 50% of a joint venture in Mexico that produces unit coolers and condensing units of the same design and quality as those manufactured by the Company in the United States. Since this venture produces a smaller range of products, the product line is complemented with imports from the United States, which are sold through the joint venture’s distribution network. Sales in Mexico are to wholesalers, installing contractors and original equipment manufacturers. As production volumes increase, there exists the potential to export some products from the joint venture into the United States, Canada and other parts of Latin America.</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and Distribution</w:t>
      </w:r>
    </w:p>
    <w:p>
      <w:pPr>
        <w:spacing w:after="0" w:line="228" w:lineRule="exact"/>
        <w:rPr>
          <w:sz w:val="20"/>
          <w:szCs w:val="20"/>
          <w:color w:val="auto"/>
        </w:rPr>
      </w:pPr>
    </w:p>
    <w:p>
      <w:pPr>
        <w:ind w:right="40" w:firstLine="286"/>
        <w:spacing w:after="0" w:line="297" w:lineRule="auto"/>
        <w:rPr>
          <w:sz w:val="20"/>
          <w:szCs w:val="20"/>
          <w:color w:val="auto"/>
        </w:rPr>
      </w:pPr>
      <w:r>
        <w:rPr>
          <w:rFonts w:ascii="Arial" w:cs="Arial" w:eastAsia="Arial" w:hAnsi="Arial"/>
          <w:sz w:val="14"/>
          <w:szCs w:val="14"/>
          <w:color w:val="auto"/>
        </w:rPr>
        <w:t>The Company manages multiple channels of distribution and offers different brands at various price points in order to better penetrate the HVACR markets. Generally, the Company’s products and services are sold through a combination of distributors, independent and Company-owned dealer service centers, wholesalers, manufacturers’ representatives, original equipment manufacturers and national accounts. Dedicated sales forces are deployed across all the Company’s business segments and brands in a manner designed to maximize their ability to service a particular distribution channel. To maximize enterprise-wide effectiveness, the Company has active cross-functional and cross-organizational teams coordinating approaches to pricing, product design and national account customers.</w:t>
      </w:r>
    </w:p>
    <w:p>
      <w:pPr>
        <w:spacing w:after="0" w:line="173" w:lineRule="exact"/>
        <w:rPr>
          <w:sz w:val="20"/>
          <w:szCs w:val="20"/>
          <w:color w:val="auto"/>
        </w:rPr>
      </w:pPr>
    </w:p>
    <w:p>
      <w:pPr>
        <w:ind w:right="60" w:firstLine="286"/>
        <w:spacing w:after="0" w:line="252" w:lineRule="auto"/>
        <w:rPr>
          <w:sz w:val="20"/>
          <w:szCs w:val="20"/>
          <w:color w:val="auto"/>
        </w:rPr>
      </w:pPr>
      <w:r>
        <w:rPr>
          <w:rFonts w:ascii="Arial" w:cs="Arial" w:eastAsia="Arial" w:hAnsi="Arial"/>
          <w:sz w:val="16"/>
          <w:szCs w:val="16"/>
          <w:color w:val="auto"/>
        </w:rPr>
        <w:t>An example of the competitive strength of the Company’s marketing and distribution strategy is in the North American residential heating and cooling market in which it uses three distinctly different distribution approaches — the one-step distribution system, the two-step distribution system and sales made directly to consumers through Company-owned dealers. The Company markets and distributes its “Lennox” and “Aire-Flo” brands directly to independent dealers that install these heating and cooling products. The Company distributes its “Armstrong Air,” “Ducane,” “Advanced Distributor Products” and “Magic-Pak” brands through the traditional two-step distribution process whereby it sells its products to distributors who, in turn, sell the products to an installing contractor. In addition, the Company provides heating and cooling products and services directly to consumers through Company-owned dealer service centers.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100" w:firstLine="286"/>
        <w:spacing w:after="0" w:line="336" w:lineRule="auto"/>
        <w:rPr>
          <w:sz w:val="20"/>
          <w:szCs w:val="20"/>
          <w:color w:val="auto"/>
        </w:rPr>
      </w:pPr>
      <w:r>
        <w:rPr>
          <w:rFonts w:ascii="Arial" w:cs="Arial" w:eastAsia="Arial" w:hAnsi="Arial"/>
          <w:sz w:val="14"/>
          <w:szCs w:val="14"/>
          <w:color w:val="auto"/>
        </w:rPr>
        <w:t>Over the years, the “Lennox” brand has become synonymous with the “Dave Lennox” image, which is utilized in television and print advertising as well as in numerous locally produced dealer ads, open houses and trade events. “Dave Lennox” is a highly recognizable advertising icon in the heating and cooling industry.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28" w:lineRule="exact"/>
        <w:rPr>
          <w:sz w:val="20"/>
          <w:szCs w:val="20"/>
          <w:color w:val="auto"/>
        </w:rPr>
      </w:pPr>
    </w:p>
    <w:p>
      <w:pPr>
        <w:jc w:val="both"/>
        <w:ind w:firstLine="286"/>
        <w:spacing w:after="0" w:line="256" w:lineRule="auto"/>
        <w:rPr>
          <w:sz w:val="20"/>
          <w:szCs w:val="20"/>
          <w:color w:val="auto"/>
        </w:rPr>
      </w:pPr>
      <w:r>
        <w:rPr>
          <w:rFonts w:ascii="Arial" w:cs="Arial" w:eastAsia="Arial" w:hAnsi="Arial"/>
          <w:sz w:val="16"/>
          <w:szCs w:val="16"/>
          <w:color w:val="auto"/>
        </w:rPr>
        <w:t>The Company operates manufacturing facilities in the United States and other parts of the world. In its facilities most impacted by seasonal demand, the Company manufactures both heating and cooling products to smooth seasonal production demands and maintain a relatively stable labor force. The Company is generally able to hire temporary employees to meet changes in demand.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Purchasing</w:t>
      </w:r>
    </w:p>
    <w:p>
      <w:pPr>
        <w:spacing w:after="0" w:line="228" w:lineRule="exact"/>
        <w:rPr>
          <w:sz w:val="20"/>
          <w:szCs w:val="20"/>
          <w:color w:val="auto"/>
        </w:rPr>
      </w:pPr>
    </w:p>
    <w:p>
      <w:pPr>
        <w:ind w:right="40" w:firstLine="286"/>
        <w:spacing w:after="0" w:line="321" w:lineRule="auto"/>
        <w:rPr>
          <w:sz w:val="20"/>
          <w:szCs w:val="20"/>
          <w:color w:val="auto"/>
        </w:rPr>
      </w:pPr>
      <w:r>
        <w:rPr>
          <w:rFonts w:ascii="Arial" w:cs="Arial" w:eastAsia="Arial" w:hAnsi="Arial"/>
          <w:sz w:val="13"/>
          <w:szCs w:val="13"/>
          <w:color w:val="auto"/>
        </w:rPr>
        <w:t>The Company relies on various suppliers to furnish the raw materials and components used in the manufacture of its products. To maximize its buying effectiveness in the marketplace, the Company utilizes purchasing councils that consolidate required purchases of materials and components across domestic business segments. The purchasing councils generally concentrate purchases for a given material or component with one or two suppliers, although the Company believes there are alternative suppliers for all of its key raw material and component needs. Compressors, motors and controls constitute the Company’s most significant component purchases, while steel, copper and aluminum account for the bulk of the Company’s raw material purchases. The Company owns a 24.5% interest in a joint venture that manufactures compressors in the one and one-half to six and one-half horsepower range. This joint venture provides the Company with the majority of its domestic compressor requirements for its unitary residential and commercial cooling equipment.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Research and Development</w:t>
      </w:r>
    </w:p>
    <w:p>
      <w:pPr>
        <w:spacing w:after="0" w:line="228" w:lineRule="exact"/>
        <w:rPr>
          <w:sz w:val="20"/>
          <w:szCs w:val="20"/>
          <w:color w:val="auto"/>
        </w:rPr>
      </w:pPr>
    </w:p>
    <w:p>
      <w:pPr>
        <w:ind w:right="20" w:firstLine="286"/>
        <w:spacing w:after="0" w:line="297" w:lineRule="auto"/>
        <w:rPr>
          <w:sz w:val="20"/>
          <w:szCs w:val="20"/>
          <w:color w:val="auto"/>
        </w:rPr>
      </w:pPr>
      <w:r>
        <w:rPr>
          <w:rFonts w:ascii="Arial" w:cs="Arial" w:eastAsia="Arial" w:hAnsi="Arial"/>
          <w:sz w:val="14"/>
          <w:szCs w:val="14"/>
          <w:color w:val="auto"/>
        </w:rPr>
        <w:t>The Company supports an extensive research and development program focusing on the development of new products and improvements to its existing product lines. The Company spent an aggregate of $38.0 million, $38.2 million and $37.3 million on research and development during 2003, 2002 and 2001, respectively. The Company uses advanced, commercially available computer-aided design, computer-aided manufacturing, computational fluid dynamics and other sophisticated software not only to streamline the design and manufacturing processes, but also to run complex computer simulations on a product design before a working prototype is created. The Company operates a full line of metalworking equipment and advanced laboratories certified by applicable industry associations.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Trademarks</w:t>
      </w:r>
    </w:p>
    <w:p>
      <w:pPr>
        <w:spacing w:after="0" w:line="228" w:lineRule="exact"/>
        <w:rPr>
          <w:sz w:val="20"/>
          <w:szCs w:val="20"/>
          <w:color w:val="auto"/>
        </w:rPr>
      </w:pPr>
    </w:p>
    <w:p>
      <w:pPr>
        <w:jc w:val="center"/>
        <w:spacing w:after="0" w:line="245" w:lineRule="auto"/>
        <w:rPr>
          <w:sz w:val="20"/>
          <w:szCs w:val="20"/>
          <w:color w:val="auto"/>
        </w:rPr>
      </w:pPr>
      <w:r>
        <w:rPr>
          <w:rFonts w:ascii="Arial" w:cs="Arial" w:eastAsia="Arial" w:hAnsi="Arial"/>
          <w:sz w:val="14"/>
          <w:szCs w:val="14"/>
          <w:color w:val="auto"/>
        </w:rPr>
        <w:t>The Company holds numerous patents that relate to the design and use of its products. The Company considers these patents important, but no single patent is material to the overall conduct of its business. The Company’s policy is to obtain and protect patents whenever such action would be beneficial. The Company owns or licenses several trademarks it considers important in the marketing of its products, including Lennox®, Armstrong Air</w:t>
      </w:r>
      <w:r>
        <w:rPr>
          <w:rFonts w:ascii="Arial" w:cs="Arial" w:eastAsia="Arial" w:hAnsi="Arial"/>
          <w:sz w:val="22"/>
          <w:szCs w:val="22"/>
          <w:color w:val="auto"/>
          <w:vertAlign w:val="superscript"/>
        </w:rPr>
        <w:t>TM</w:t>
      </w:r>
      <w:r>
        <w:rPr>
          <w:rFonts w:ascii="Arial" w:cs="Arial" w:eastAsia="Arial" w:hAnsi="Arial"/>
          <w:sz w:val="14"/>
          <w:szCs w:val="14"/>
          <w:color w:val="auto"/>
        </w:rPr>
        <w:t>, Ducane</w:t>
      </w:r>
      <w:r>
        <w:rPr>
          <w:rFonts w:ascii="Arial" w:cs="Arial" w:eastAsia="Arial" w:hAnsi="Arial"/>
          <w:sz w:val="22"/>
          <w:szCs w:val="22"/>
          <w:color w:val="auto"/>
          <w:vertAlign w:val="superscript"/>
        </w:rPr>
        <w:t>TM</w:t>
      </w:r>
      <w:r>
        <w:rPr>
          <w:rFonts w:ascii="Arial" w:cs="Arial" w:eastAsia="Arial" w:hAnsi="Arial"/>
          <w:sz w:val="14"/>
          <w:szCs w:val="14"/>
          <w:color w:val="auto"/>
        </w:rPr>
        <w:t>, Advanced Distributor Products</w:t>
      </w:r>
      <w:r>
        <w:rPr>
          <w:rFonts w:ascii="Arial" w:cs="Arial" w:eastAsia="Arial" w:hAnsi="Arial"/>
          <w:sz w:val="22"/>
          <w:szCs w:val="22"/>
          <w:color w:val="auto"/>
          <w:vertAlign w:val="superscript"/>
        </w:rPr>
        <w:t>TM</w:t>
      </w:r>
      <w:r>
        <w:rPr>
          <w:rFonts w:ascii="Arial" w:cs="Arial" w:eastAsia="Arial" w:hAnsi="Arial"/>
          <w:sz w:val="14"/>
          <w:szCs w:val="14"/>
          <w:color w:val="auto"/>
        </w:rPr>
        <w:t>, Aire-Flo</w:t>
      </w:r>
      <w:r>
        <w:rPr>
          <w:rFonts w:ascii="Arial" w:cs="Arial" w:eastAsia="Arial" w:hAnsi="Arial"/>
          <w:sz w:val="22"/>
          <w:szCs w:val="22"/>
          <w:color w:val="auto"/>
          <w:vertAlign w:val="superscript"/>
        </w:rPr>
        <w:t>TM</w:t>
      </w:r>
      <w:r>
        <w:rPr>
          <w:rFonts w:ascii="Arial" w:cs="Arial" w:eastAsia="Arial" w:hAnsi="Arial"/>
          <w:sz w:val="14"/>
          <w:szCs w:val="14"/>
          <w:color w:val="auto"/>
        </w:rPr>
        <w:t>, CompleteHeat®, Concord®, Superior®, Whitfield®, Security Chimneys</w:t>
      </w:r>
      <w:r>
        <w:rPr>
          <w:rFonts w:ascii="Arial" w:cs="Arial" w:eastAsia="Arial" w:hAnsi="Arial"/>
          <w:sz w:val="22"/>
          <w:szCs w:val="22"/>
          <w:color w:val="auto"/>
          <w:vertAlign w:val="superscript"/>
        </w:rPr>
        <w:t>TM</w:t>
      </w:r>
      <w:r>
        <w:rPr>
          <w:rFonts w:ascii="Arial" w:cs="Arial" w:eastAsia="Arial" w:hAnsi="Arial"/>
          <w:sz w:val="14"/>
          <w:szCs w:val="14"/>
          <w:color w:val="auto"/>
        </w:rPr>
        <w:t>, Service Experts®, Bohn®, Larkin</w:t>
      </w:r>
      <w:r>
        <w:rPr>
          <w:rFonts w:ascii="Arial" w:cs="Arial" w:eastAsia="Arial" w:hAnsi="Arial"/>
          <w:sz w:val="22"/>
          <w:szCs w:val="22"/>
          <w:color w:val="auto"/>
          <w:vertAlign w:val="superscript"/>
        </w:rPr>
        <w:t>TM</w:t>
      </w:r>
      <w:r>
        <w:rPr>
          <w:rFonts w:ascii="Arial" w:cs="Arial" w:eastAsia="Arial" w:hAnsi="Arial"/>
          <w:sz w:val="14"/>
          <w:szCs w:val="14"/>
          <w:color w:val="auto"/>
        </w:rPr>
        <w:t>, Climate Control</w:t>
      </w:r>
      <w:r>
        <w:rPr>
          <w:rFonts w:ascii="Arial" w:cs="Arial" w:eastAsia="Arial" w:hAnsi="Arial"/>
          <w:sz w:val="22"/>
          <w:szCs w:val="22"/>
          <w:color w:val="auto"/>
          <w:vertAlign w:val="superscript"/>
        </w:rPr>
        <w:t>TM</w:t>
      </w:r>
      <w:r>
        <w:rPr>
          <w:rFonts w:ascii="Arial" w:cs="Arial" w:eastAsia="Arial" w:hAnsi="Arial"/>
          <w:sz w:val="14"/>
          <w:szCs w:val="14"/>
          <w:color w:val="auto"/>
        </w:rPr>
        <w:t>, Chandler Refrigeration®, Kirby</w:t>
      </w:r>
      <w:r>
        <w:rPr>
          <w:rFonts w:ascii="Arial" w:cs="Arial" w:eastAsia="Arial" w:hAnsi="Arial"/>
          <w:sz w:val="22"/>
          <w:szCs w:val="22"/>
          <w:color w:val="auto"/>
          <w:vertAlign w:val="superscript"/>
        </w:rPr>
        <w:t>TM</w:t>
      </w:r>
      <w:r>
        <w:rPr>
          <w:rFonts w:ascii="Arial" w:cs="Arial" w:eastAsia="Arial" w:hAnsi="Arial"/>
          <w:sz w:val="14"/>
          <w:szCs w:val="14"/>
          <w:color w:val="auto"/>
        </w:rPr>
        <w:t>, Heatcraft Worldwide Refrigeration</w:t>
      </w:r>
      <w:r>
        <w:rPr>
          <w:rFonts w:ascii="Arial" w:cs="Arial" w:eastAsia="Arial" w:hAnsi="Arial"/>
          <w:sz w:val="22"/>
          <w:szCs w:val="22"/>
          <w:color w:val="auto"/>
          <w:vertAlign w:val="superscript"/>
        </w:rPr>
        <w:t>TM</w:t>
      </w:r>
      <w:r>
        <w:rPr>
          <w:rFonts w:ascii="Arial" w:cs="Arial" w:eastAsia="Arial" w:hAnsi="Arial"/>
          <w:sz w:val="14"/>
          <w:szCs w:val="14"/>
          <w:color w:val="auto"/>
        </w:rPr>
        <w:t>,</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6"/>
          <w:szCs w:val="16"/>
          <w:color w:val="auto"/>
        </w:rPr>
        <w:t>Lovelocks</w:t>
      </w:r>
      <w:r>
        <w:rPr>
          <w:rFonts w:ascii="Arial" w:cs="Arial" w:eastAsia="Arial" w:hAnsi="Arial"/>
          <w:sz w:val="25"/>
          <w:szCs w:val="25"/>
          <w:color w:val="auto"/>
          <w:vertAlign w:val="superscript"/>
        </w:rPr>
        <w:t>TM</w:t>
      </w:r>
      <w:r>
        <w:rPr>
          <w:rFonts w:ascii="Arial" w:cs="Arial" w:eastAsia="Arial" w:hAnsi="Arial"/>
          <w:sz w:val="16"/>
          <w:szCs w:val="16"/>
          <w:color w:val="auto"/>
        </w:rPr>
        <w:t>, HK Refrigeration</w:t>
      </w:r>
      <w:r>
        <w:rPr>
          <w:rFonts w:ascii="Arial" w:cs="Arial" w:eastAsia="Arial" w:hAnsi="Arial"/>
          <w:sz w:val="25"/>
          <w:szCs w:val="25"/>
          <w:color w:val="auto"/>
          <w:vertAlign w:val="superscript"/>
        </w:rPr>
        <w:t>TM</w:t>
      </w:r>
      <w:r>
        <w:rPr>
          <w:rFonts w:ascii="Arial" w:cs="Arial" w:eastAsia="Arial" w:hAnsi="Arial"/>
          <w:sz w:val="16"/>
          <w:szCs w:val="16"/>
          <w:color w:val="auto"/>
        </w:rPr>
        <w:t>, Frigus-Bohn</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and Friga-Bohn</w:t>
      </w:r>
      <w:r>
        <w:rPr>
          <w:rFonts w:ascii="Arial" w:cs="Arial" w:eastAsia="Arial" w:hAnsi="Arial"/>
          <w:sz w:val="25"/>
          <w:szCs w:val="25"/>
          <w:color w:val="auto"/>
          <w:vertAlign w:val="superscript"/>
        </w:rPr>
        <w:t>TM</w:t>
      </w:r>
      <w:r>
        <w:rPr>
          <w:rFonts w:ascii="Arial" w:cs="Arial" w:eastAsia="Arial" w:hAnsi="Arial"/>
          <w:sz w:val="16"/>
          <w:szCs w:val="16"/>
          <w:color w:val="auto"/>
        </w:rPr>
        <w:t>. These trademarks have no fixed expiration dates and the Company believes its rights in these trademarks are adequately protected.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8" w:lineRule="exact"/>
        <w:rPr>
          <w:sz w:val="20"/>
          <w:szCs w:val="20"/>
          <w:color w:val="auto"/>
        </w:rPr>
      </w:pPr>
    </w:p>
    <w:p>
      <w:pPr>
        <w:ind w:right="180" w:firstLine="286"/>
        <w:spacing w:after="0" w:line="254" w:lineRule="auto"/>
        <w:rPr>
          <w:sz w:val="20"/>
          <w:szCs w:val="20"/>
          <w:color w:val="auto"/>
        </w:rPr>
      </w:pPr>
      <w:r>
        <w:rPr>
          <w:rFonts w:ascii="Arial" w:cs="Arial" w:eastAsia="Arial" w:hAnsi="Arial"/>
          <w:sz w:val="16"/>
          <w:szCs w:val="16"/>
          <w:color w:val="auto"/>
        </w:rPr>
        <w:t>Essentially all markets in which the Company participates are highly competitive. The most significant competitive factors facing the Company are product reliability, product performance, service and price, with the relative importance of these factors varying among its product lines. In its Service Experts segment, the Company faces competition from independent dealers and dealers owned by consolidators, utility companies and other consumer services providers. The Company’s competitors may have greater financial and marketing</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00"/>
          </w:cols>
          <w:pgMar w:left="240" w:top="386" w:right="3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resources. Listed below are some of the companies LII views as main competitors in each segment it serves, with relevant brand names, when different than the company name, shown in parentheses.</w:t>
      </w:r>
    </w:p>
    <w:p>
      <w:pPr>
        <w:spacing w:after="0" w:line="168" w:lineRule="exact"/>
        <w:rPr>
          <w:sz w:val="20"/>
          <w:szCs w:val="20"/>
          <w:color w:val="auto"/>
        </w:rPr>
      </w:pPr>
    </w:p>
    <w:p>
      <w:pPr>
        <w:ind w:left="460" w:right="340" w:hanging="119"/>
        <w:spacing w:after="0" w:line="26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Residential Heating &amp; Cooling — United Technologies Corp. (Carrier, Bryant); Goodman Manufacturing Company (Janitrol, Amana); American Standard Companies Inc. (Trane, American Standard); York International Corporation; HNI Corporation (Heatilator); CFM Corporation (Majestic).</w:t>
      </w:r>
    </w:p>
    <w:p>
      <w:pPr>
        <w:spacing w:after="0" w:line="191" w:lineRule="exact"/>
        <w:rPr>
          <w:rFonts w:ascii="Arial" w:cs="Arial" w:eastAsia="Arial" w:hAnsi="Arial"/>
          <w:sz w:val="16"/>
          <w:szCs w:val="16"/>
          <w:color w:val="auto"/>
        </w:rPr>
      </w:pPr>
    </w:p>
    <w:p>
      <w:pPr>
        <w:ind w:left="460" w:right="340" w:hanging="119"/>
        <w:spacing w:after="0" w:line="26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Commercial Heating &amp; Cooling — United Technologies Corp. (Carrier); American Standard Companies Inc. (Trane); York International Corporation; AAON, Inc.; Daikin Industries, Ltd.; McQuay International.</w:t>
      </w:r>
    </w:p>
    <w:p>
      <w:pPr>
        <w:spacing w:after="0" w:line="191" w:lineRule="exact"/>
        <w:rPr>
          <w:rFonts w:ascii="Arial" w:cs="Arial" w:eastAsia="Arial" w:hAnsi="Arial"/>
          <w:sz w:val="16"/>
          <w:szCs w:val="16"/>
          <w:color w:val="auto"/>
        </w:rPr>
      </w:pPr>
    </w:p>
    <w:p>
      <w:pPr>
        <w:ind w:left="460" w:hanging="119"/>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Service Experts — The ServiceMaster Company (ARS, AMS).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Refrigeration — United Technologies Corp. (Carrier); Ingersoll-Rand Company Limited (Hussmann); Tecumseh Products Company; Emerson Electric Co. (Copeland).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8" w:lineRule="exact"/>
        <w:rPr>
          <w:sz w:val="20"/>
          <w:szCs w:val="20"/>
          <w:color w:val="auto"/>
        </w:rPr>
      </w:pPr>
    </w:p>
    <w:p>
      <w:pPr>
        <w:ind w:firstLine="286"/>
        <w:spacing w:after="0" w:line="254" w:lineRule="auto"/>
        <w:rPr>
          <w:sz w:val="20"/>
          <w:szCs w:val="20"/>
          <w:color w:val="auto"/>
        </w:rPr>
      </w:pPr>
      <w:r>
        <w:rPr>
          <w:rFonts w:ascii="Arial" w:cs="Arial" w:eastAsia="Arial" w:hAnsi="Arial"/>
          <w:sz w:val="16"/>
          <w:szCs w:val="16"/>
          <w:color w:val="auto"/>
        </w:rPr>
        <w:t>As of January 1, 2004, the Company employed approximately 18,000 employees, approximately 4,100 of which were represented by unions. The number of hourly workers the Company employs may vary in order to match its labor needs during periods of fluctuating demand. The Company believes that its relationships with its employees and with the unions representing some of its employees are generally good and does not anticipate any material adverse consequences resulting from negotiations to renew any collective bargaining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28" w:lineRule="exact"/>
        <w:rPr>
          <w:sz w:val="20"/>
          <w:szCs w:val="20"/>
          <w:color w:val="auto"/>
        </w:rPr>
      </w:pPr>
    </w:p>
    <w:p>
      <w:pPr>
        <w:ind w:right="80" w:firstLine="286"/>
        <w:spacing w:after="0" w:line="293" w:lineRule="auto"/>
        <w:rPr>
          <w:sz w:val="20"/>
          <w:szCs w:val="20"/>
          <w:color w:val="auto"/>
        </w:rPr>
      </w:pPr>
      <w:r>
        <w:rPr>
          <w:rFonts w:ascii="Arial" w:cs="Arial" w:eastAsia="Arial" w:hAnsi="Arial"/>
          <w:sz w:val="14"/>
          <w:szCs w:val="14"/>
          <w:color w:val="auto"/>
        </w:rPr>
        <w:t>The Company’s operations are subject to evolving and often increasingly stringent international, federal, state, and local laws and regulations concerning the environment. Environmental laws that affect or could affect the Company’s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The Company believes it is in substantial compliance with such existing environmental laws and regulations. The Company’s non-United States operations are also subject to various environmental statutes and regulations. Generally, these statutes and regulations impose operational requirements similar to those imposed in the United States. The Company believes it is in substantial compliance with applicable non-United States environmental statutes and regulations.</w:t>
      </w:r>
    </w:p>
    <w:p>
      <w:pPr>
        <w:spacing w:after="0" w:line="175" w:lineRule="exact"/>
        <w:rPr>
          <w:sz w:val="20"/>
          <w:szCs w:val="20"/>
          <w:color w:val="auto"/>
        </w:rPr>
      </w:pPr>
    </w:p>
    <w:p>
      <w:pPr>
        <w:ind w:right="60" w:firstLine="286"/>
        <w:spacing w:after="0" w:line="293" w:lineRule="auto"/>
        <w:rPr>
          <w:sz w:val="20"/>
          <w:szCs w:val="20"/>
          <w:color w:val="auto"/>
        </w:rPr>
      </w:pPr>
      <w:r>
        <w:rPr>
          <w:rFonts w:ascii="Arial" w:cs="Arial" w:eastAsia="Arial" w:hAnsi="Arial"/>
          <w:sz w:val="14"/>
          <w:szCs w:val="14"/>
          <w:i w:val="1"/>
          <w:iCs w:val="1"/>
          <w:color w:val="auto"/>
        </w:rPr>
        <w:t xml:space="preserve">Refrigerants. </w:t>
      </w:r>
      <w:r>
        <w:rPr>
          <w:rFonts w:ascii="Arial" w:cs="Arial" w:eastAsia="Arial" w:hAnsi="Arial"/>
          <w:sz w:val="14"/>
          <w:szCs w:val="14"/>
          <w:color w:val="auto"/>
        </w:rPr>
        <w:t>In the past there has been regulatory and political pressure to phase out the use of certain ozone depleting substances, including hydrochlorofluorocarbons, which are</w:t>
      </w:r>
      <w:r>
        <w:rPr>
          <w:rFonts w:ascii="Arial" w:cs="Arial" w:eastAsia="Arial" w:hAnsi="Arial"/>
          <w:sz w:val="14"/>
          <w:szCs w:val="14"/>
          <w:i w:val="1"/>
          <w:iCs w:val="1"/>
          <w:color w:val="auto"/>
        </w:rPr>
        <w:t xml:space="preserve"> </w:t>
      </w:r>
      <w:r>
        <w:rPr>
          <w:rFonts w:ascii="Arial" w:cs="Arial" w:eastAsia="Arial" w:hAnsi="Arial"/>
          <w:sz w:val="14"/>
          <w:szCs w:val="14"/>
          <w:color w:val="auto"/>
        </w:rPr>
        <w:t>sometimes referred to as “HCFCs.” This development is of particular importance to the Company and its competitors because of the common usage of HCFCs as refrigerants for air conditioning and refrigeration equipment. This will not occur prior to 2010 and the Company is prepared to introduce new product offerings that will replace HCFCs as the refrigerant fluid with an approved alternative. As discussed below, the Company does not believe implementation of the phase-out schedule for HCFCs contained in the current regulations will have a material adverse effect on its financial position or results of operations. The Company does believe, however, there will likely be continued pressure by the international environmental community for the United States and other countries to accelerate the phase-out schedule. The Company has been an active participant in the ongoing international dialogue on these issues and believes that it is well positioned to react to any changes in the regulatory landscape.</w:t>
      </w:r>
    </w:p>
    <w:p>
      <w:pPr>
        <w:spacing w:after="0" w:line="175" w:lineRule="exact"/>
        <w:rPr>
          <w:sz w:val="20"/>
          <w:szCs w:val="20"/>
          <w:color w:val="auto"/>
        </w:rPr>
      </w:pPr>
    </w:p>
    <w:p>
      <w:pPr>
        <w:ind w:right="160" w:firstLine="286"/>
        <w:spacing w:after="0" w:line="256" w:lineRule="auto"/>
        <w:rPr>
          <w:sz w:val="20"/>
          <w:szCs w:val="20"/>
          <w:color w:val="auto"/>
        </w:rPr>
      </w:pPr>
      <w:r>
        <w:rPr>
          <w:rFonts w:ascii="Arial" w:cs="Arial" w:eastAsia="Arial" w:hAnsi="Arial"/>
          <w:sz w:val="16"/>
          <w:szCs w:val="16"/>
          <w:color w:val="auto"/>
        </w:rPr>
        <w:t>In 1987, the United States became a signatory to an international agreement titled the Montreal Protocol on Substances that Deplete the Ozone Layer. The Montreal Protocol requires its signatories to phase out HCFCs on a predictable and orderly basis. All countries in the developed world have become signatories to the Montreal Protocol. The manner in which these countries implement the Montreal Protocol and regulate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140"/>
        <w:spacing w:after="0" w:line="310" w:lineRule="auto"/>
        <w:rPr>
          <w:sz w:val="20"/>
          <w:szCs w:val="20"/>
          <w:color w:val="auto"/>
        </w:rPr>
      </w:pPr>
      <w:r>
        <w:rPr>
          <w:rFonts w:ascii="Arial" w:cs="Arial" w:eastAsia="Arial" w:hAnsi="Arial"/>
          <w:sz w:val="14"/>
          <w:szCs w:val="14"/>
          <w:color w:val="auto"/>
        </w:rPr>
        <w:t>HCFCs differs widely. The 1990 U.S. Clean Air Act amendments implement the Montreal Protocol by establishing a program to limit the production, importation and use of specified ozone depleting substances, including HCFCs currently used as refrigerants by the Company and its competitors. Under the Clean Air Act and implementing regulations, all HCFCs must be phased out between 2010 and 2030. The Company believes these regulations, as currently in effect, will not have a material adverse effect on its operations.</w:t>
      </w:r>
    </w:p>
    <w:p>
      <w:pPr>
        <w:spacing w:after="0" w:line="163" w:lineRule="exact"/>
        <w:rPr>
          <w:sz w:val="20"/>
          <w:szCs w:val="20"/>
          <w:color w:val="auto"/>
        </w:rPr>
      </w:pPr>
    </w:p>
    <w:p>
      <w:pPr>
        <w:ind w:right="100" w:firstLine="286"/>
        <w:spacing w:after="0" w:line="297" w:lineRule="auto"/>
        <w:rPr>
          <w:sz w:val="20"/>
          <w:szCs w:val="20"/>
          <w:color w:val="auto"/>
        </w:rPr>
      </w:pPr>
      <w:r>
        <w:rPr>
          <w:rFonts w:ascii="Arial" w:cs="Arial" w:eastAsia="Arial" w:hAnsi="Arial"/>
          <w:sz w:val="14"/>
          <w:szCs w:val="14"/>
          <w:color w:val="auto"/>
        </w:rPr>
        <w:t>The Company, together with major chemical manufacturers, is reviewing and addressing the potential impact of refrigerant regulations on its products. The Company believes the combination of products that presently utilize HCFCs and new products utilizing alternative refrigerants being phased in will allow it to offer a complete line of commercial and industrial products. Therefore, the Company does not foresee any material adverse impact on its business or competitive position as a result of the Montreal Protocol, the 1990 Clean Air Act amendments or their implementing regulations. However, the Company believes the implementation of severe restrictions on the production, importation or use of refrigerants the Company employs in larger quantities or acceleration of the current phase-out schedule could have such an impact on the Company and its competitors.</w:t>
      </w:r>
    </w:p>
    <w:p>
      <w:pPr>
        <w:spacing w:after="0" w:line="173" w:lineRule="exact"/>
        <w:rPr>
          <w:sz w:val="20"/>
          <w:szCs w:val="20"/>
          <w:color w:val="auto"/>
        </w:rPr>
      </w:pPr>
    </w:p>
    <w:p>
      <w:pPr>
        <w:ind w:firstLine="286"/>
        <w:spacing w:after="0" w:line="294" w:lineRule="auto"/>
        <w:rPr>
          <w:sz w:val="20"/>
          <w:szCs w:val="20"/>
          <w:color w:val="auto"/>
        </w:rPr>
      </w:pPr>
      <w:r>
        <w:rPr>
          <w:rFonts w:ascii="Arial" w:cs="Arial" w:eastAsia="Arial" w:hAnsi="Arial"/>
          <w:sz w:val="14"/>
          <w:szCs w:val="14"/>
          <w:color w:val="auto"/>
        </w:rPr>
        <w:t>The Company is subject to appliance efficiency regulations promulgated under the National Appliance Energy Conservation Act of 1987, as amended, and various state regulations concerning the energy efficiency of its products. The Company has developed, and will continue to develop, products which comply with new National Appliance Energy Conservation Act regulations and does not believe that such regulations will have a material adverse effect on its business. In 1998, the United States Department of Energy began its review of national standards for comfort products covered under the National Appliance Energy Conservation Act. The National Appliance Energy Conservation Act regulations requiring manufacturers to phase in new higher efficiency products becomes effective in January 2006. The Company believes it is well positioned to comply with the new standards promulgated by the Department of Energy and does not foresee any adverse material impact from a National Appliance Energy Conservation Act standard change.</w:t>
      </w:r>
    </w:p>
    <w:p>
      <w:pPr>
        <w:spacing w:after="0" w:line="176" w:lineRule="exact"/>
        <w:rPr>
          <w:sz w:val="20"/>
          <w:szCs w:val="20"/>
          <w:color w:val="auto"/>
        </w:rPr>
      </w:pPr>
    </w:p>
    <w:p>
      <w:pPr>
        <w:ind w:right="60" w:firstLine="286"/>
        <w:spacing w:after="0" w:line="297" w:lineRule="auto"/>
        <w:rPr>
          <w:sz w:val="20"/>
          <w:szCs w:val="20"/>
          <w:color w:val="auto"/>
        </w:rPr>
      </w:pPr>
      <w:r>
        <w:rPr>
          <w:rFonts w:ascii="Arial" w:cs="Arial" w:eastAsia="Arial" w:hAnsi="Arial"/>
          <w:sz w:val="14"/>
          <w:szCs w:val="14"/>
          <w:i w:val="1"/>
          <w:iCs w:val="1"/>
          <w:color w:val="auto"/>
        </w:rPr>
        <w:t xml:space="preserve">Remediation Activity. </w:t>
      </w:r>
      <w:r>
        <w:rPr>
          <w:rFonts w:ascii="Arial" w:cs="Arial" w:eastAsia="Arial" w:hAnsi="Arial"/>
          <w:sz w:val="14"/>
          <w:szCs w:val="14"/>
          <w:color w:val="auto"/>
        </w:rPr>
        <w:t>In addition to affecting the Company’s ongoing operations, applicable environmental laws can impose obligations to remediate hazardous substances at its</w:t>
      </w:r>
      <w:r>
        <w:rPr>
          <w:rFonts w:ascii="Arial" w:cs="Arial" w:eastAsia="Arial" w:hAnsi="Arial"/>
          <w:sz w:val="14"/>
          <w:szCs w:val="14"/>
          <w:i w:val="1"/>
          <w:iCs w:val="1"/>
          <w:color w:val="auto"/>
        </w:rPr>
        <w:t xml:space="preserve"> </w:t>
      </w:r>
      <w:r>
        <w:rPr>
          <w:rFonts w:ascii="Arial" w:cs="Arial" w:eastAsia="Arial" w:hAnsi="Arial"/>
          <w:sz w:val="14"/>
          <w:szCs w:val="14"/>
          <w:color w:val="auto"/>
        </w:rPr>
        <w:t>properties, at properties formerly owned or operated by the Company and at facilities to which it has sent or sends waste for treatment or disposal. The Company’s former Grenada facility, now part of a joint venture, is subject to an administrative order issued by the Mississippi Department of Environmental Quality under which the Company is conducting groundwater remediation. The expenditures from this groundwater remediation are not expected to materially affect the Company’s financial condition or results of operations. The Company is aware of contamination at some of its other facilities; however, the Company does not presently believe that any future remediation costs at such facilities will be material.</w:t>
      </w:r>
    </w:p>
    <w:p>
      <w:pPr>
        <w:spacing w:after="0" w:line="173" w:lineRule="exact"/>
        <w:rPr>
          <w:sz w:val="20"/>
          <w:szCs w:val="20"/>
          <w:color w:val="auto"/>
        </w:rPr>
      </w:pPr>
    </w:p>
    <w:p>
      <w:pPr>
        <w:ind w:right="20" w:firstLine="286"/>
        <w:spacing w:after="0" w:line="254" w:lineRule="auto"/>
        <w:rPr>
          <w:sz w:val="20"/>
          <w:szCs w:val="20"/>
          <w:color w:val="auto"/>
        </w:rPr>
      </w:pPr>
      <w:r>
        <w:rPr>
          <w:rFonts w:ascii="Arial" w:cs="Arial" w:eastAsia="Arial" w:hAnsi="Arial"/>
          <w:sz w:val="16"/>
          <w:szCs w:val="16"/>
          <w:color w:val="auto"/>
        </w:rPr>
        <w:t>The Company has received notices in the past that it is a potentially responsible party along with other potentially responsible parties in Superfund proceedings under the Comprehensive Environmental Response, Compensation and Liability Act for cleanup of hazardous substances at certain sites to which the potentially responsible parties are alleged to have sent waste. Based on the facts presently known, the Company does not believe environmental cleanup costs associated with any Superfund sites where the Company has received notice that it is a potentially responsible party will be material.</w:t>
      </w:r>
    </w:p>
    <w:p>
      <w:pPr>
        <w:spacing w:after="0" w:line="199" w:lineRule="exact"/>
        <w:rPr>
          <w:sz w:val="20"/>
          <w:szCs w:val="20"/>
          <w:color w:val="auto"/>
        </w:rPr>
      </w:pPr>
    </w:p>
    <w:p>
      <w:pPr>
        <w:ind w:right="580" w:firstLine="286"/>
        <w:spacing w:after="0" w:line="264" w:lineRule="auto"/>
        <w:rPr>
          <w:sz w:val="20"/>
          <w:szCs w:val="20"/>
          <w:color w:val="auto"/>
        </w:rPr>
      </w:pPr>
      <w:r>
        <w:rPr>
          <w:rFonts w:ascii="Arial" w:cs="Arial" w:eastAsia="Arial" w:hAnsi="Arial"/>
          <w:sz w:val="16"/>
          <w:szCs w:val="16"/>
          <w:i w:val="1"/>
          <w:iCs w:val="1"/>
          <w:color w:val="auto"/>
        </w:rPr>
        <w:t xml:space="preserve">Service Center Operations. </w:t>
      </w:r>
      <w:r>
        <w:rPr>
          <w:rFonts w:ascii="Arial" w:cs="Arial" w:eastAsia="Arial" w:hAnsi="Arial"/>
          <w:sz w:val="16"/>
          <w:szCs w:val="16"/>
          <w:color w:val="auto"/>
        </w:rPr>
        <w:t>The heating and cooling dealer service centers acquired in the United States and Canada are subject to various federal, state and local laws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including:</w:t>
      </w:r>
    </w:p>
    <w:p>
      <w:pPr>
        <w:spacing w:after="0" w:line="168" w:lineRule="exact"/>
        <w:rPr>
          <w:sz w:val="20"/>
          <w:szCs w:val="20"/>
          <w:color w:val="auto"/>
        </w:rPr>
      </w:pPr>
    </w:p>
    <w:p>
      <w:pPr>
        <w:ind w:left="460" w:hanging="11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permitting and licensing requirements applicable to service technicians in their respective trades;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building, heating, ventilation, air conditioning, plumbing and electrical codes and zoning ordinances;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laws and regulations relating to consumer protection, including laws and regulations governing service contracts for residential services; and</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laws and regulations relating to worker safety and protection of the environment.</w:t>
      </w:r>
    </w:p>
    <w:p>
      <w:pPr>
        <w:spacing w:after="0" w:line="245" w:lineRule="exact"/>
        <w:rPr>
          <w:sz w:val="20"/>
          <w:szCs w:val="20"/>
          <w:color w:val="auto"/>
        </w:rPr>
      </w:pPr>
    </w:p>
    <w:p>
      <w:pPr>
        <w:ind w:right="100" w:firstLine="286"/>
        <w:spacing w:after="0" w:line="264" w:lineRule="auto"/>
        <w:rPr>
          <w:sz w:val="20"/>
          <w:szCs w:val="20"/>
          <w:color w:val="auto"/>
        </w:rPr>
      </w:pPr>
      <w:r>
        <w:rPr>
          <w:rFonts w:ascii="Arial" w:cs="Arial" w:eastAsia="Arial" w:hAnsi="Arial"/>
          <w:sz w:val="16"/>
          <w:szCs w:val="16"/>
          <w:color w:val="auto"/>
        </w:rPr>
        <w:t>A large number of state and local regulations governing the residential and commercial maintenance services trades require various permits and licenses to be held by individuals. In some cases, a required permit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or license held by a single individual may be sufficient to authorize specified activities for all of the Company’s service technicians who work in the geographic area covered by the permit or license.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28" w:lineRule="exact"/>
        <w:rPr>
          <w:sz w:val="20"/>
          <w:szCs w:val="20"/>
          <w:color w:val="auto"/>
        </w:rPr>
      </w:pPr>
    </w:p>
    <w:p>
      <w:pPr>
        <w:ind w:right="140" w:firstLine="286"/>
        <w:spacing w:after="0" w:line="310" w:lineRule="auto"/>
        <w:rPr>
          <w:sz w:val="20"/>
          <w:szCs w:val="20"/>
          <w:color w:val="auto"/>
        </w:rPr>
      </w:pPr>
      <w:r>
        <w:rPr>
          <w:rFonts w:ascii="Arial" w:cs="Arial" w:eastAsia="Arial" w:hAnsi="Arial"/>
          <w:sz w:val="14"/>
          <w:szCs w:val="14"/>
          <w:color w:val="auto"/>
        </w:rPr>
        <w:t>LII’s Internet address is www.lennoxinternational.com. The company makes available, free of charge through this web site, its annual report on Form 10-K, quarterly reports on Form 10-Q, current reports on Form 8-K and amendments to those reports filed or furnished pursuant to Section 13(a) of the Securities Exchange Act of 1934, as amended, as soon as reasonably practicable after such material is electronically filed with, or furnished to, the Securities and Exchange Commission.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of the Company (Ages as of 9/1)</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executive officers of the Company, their present positions and their ages are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900" w:type="dxa"/>
            <w:vAlign w:val="bottom"/>
          </w:tcPr>
          <w:p>
            <w:pPr>
              <w:ind w:left="1800"/>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3"/>
                <w:szCs w:val="13"/>
                <w:color w:val="auto"/>
              </w:rPr>
            </w:pPr>
          </w:p>
        </w:tc>
        <w:tc>
          <w:tcPr>
            <w:tcW w:w="560" w:type="dxa"/>
            <w:vAlign w:val="bottom"/>
          </w:tcPr>
          <w:p>
            <w:pPr>
              <w:jc w:val="right"/>
              <w:ind w:right="120"/>
              <w:spacing w:after="0"/>
              <w:rPr>
                <w:sz w:val="20"/>
                <w:szCs w:val="20"/>
                <w:color w:val="auto"/>
              </w:rPr>
            </w:pPr>
            <w:r>
              <w:rPr>
                <w:rFonts w:ascii="Arial" w:cs="Arial" w:eastAsia="Arial" w:hAnsi="Arial"/>
                <w:sz w:val="12"/>
                <w:szCs w:val="12"/>
                <w:b w:val="1"/>
                <w:bCs w:val="1"/>
                <w:color w:val="auto"/>
              </w:rPr>
              <w:t>Age</w:t>
            </w:r>
          </w:p>
        </w:tc>
        <w:tc>
          <w:tcPr>
            <w:tcW w:w="340" w:type="dxa"/>
            <w:vAlign w:val="bottom"/>
          </w:tcPr>
          <w:p>
            <w:pPr>
              <w:spacing w:after="0"/>
              <w:rPr>
                <w:sz w:val="13"/>
                <w:szCs w:val="13"/>
                <w:color w:val="auto"/>
              </w:rPr>
            </w:pPr>
          </w:p>
        </w:tc>
        <w:tc>
          <w:tcPr>
            <w:tcW w:w="6300" w:type="dxa"/>
            <w:vAlign w:val="bottom"/>
          </w:tcPr>
          <w:p>
            <w:pPr>
              <w:ind w:left="2940"/>
              <w:spacing w:after="0"/>
              <w:rPr>
                <w:sz w:val="20"/>
                <w:szCs w:val="20"/>
                <w:color w:val="auto"/>
              </w:rPr>
            </w:pPr>
            <w:r>
              <w:rPr>
                <w:rFonts w:ascii="Arial" w:cs="Arial" w:eastAsia="Arial" w:hAnsi="Arial"/>
                <w:sz w:val="12"/>
                <w:szCs w:val="12"/>
                <w:b w:val="1"/>
                <w:bCs w:val="1"/>
                <w:color w:val="auto"/>
              </w:rPr>
              <w:t>Position</w:t>
            </w:r>
          </w:p>
        </w:tc>
      </w:tr>
      <w:tr>
        <w:trPr>
          <w:trHeight w:val="83"/>
        </w:trPr>
        <w:tc>
          <w:tcPr>
            <w:tcW w:w="39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6300" w:type="dxa"/>
            <w:vAlign w:val="bottom"/>
            <w:tcBorders>
              <w:bottom w:val="single" w:sz="8" w:color="808080"/>
            </w:tcBorders>
          </w:tcPr>
          <w:p>
            <w:pPr>
              <w:spacing w:after="0"/>
              <w:rPr>
                <w:sz w:val="7"/>
                <w:szCs w:val="7"/>
                <w:color w:val="auto"/>
              </w:rPr>
            </w:pPr>
          </w:p>
        </w:tc>
      </w:tr>
      <w:tr>
        <w:trPr>
          <w:trHeight w:val="271"/>
        </w:trPr>
        <w:tc>
          <w:tcPr>
            <w:tcW w:w="3900" w:type="dxa"/>
            <w:vAlign w:val="bottom"/>
          </w:tcPr>
          <w:p>
            <w:pPr>
              <w:spacing w:after="0"/>
              <w:rPr>
                <w:sz w:val="20"/>
                <w:szCs w:val="20"/>
                <w:color w:val="auto"/>
              </w:rPr>
            </w:pPr>
            <w:r>
              <w:rPr>
                <w:rFonts w:ascii="Arial" w:cs="Arial" w:eastAsia="Arial" w:hAnsi="Arial"/>
                <w:sz w:val="16"/>
                <w:szCs w:val="16"/>
                <w:color w:val="auto"/>
              </w:rPr>
              <w:t>John W. Norris, Jr.</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23"/>
                <w:szCs w:val="23"/>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Chairman of the Board</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Robert E. Schjerven</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Harry J. Ashenhurst, Ph.D</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Executive Vice President and Chief Administrative Officer</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Scott J. Boxer</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Executive Vice President and President and Chief Operating Officer, Service Experts</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Susan K. Carter</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Executive Vice President, Chief Financial Officer and Treasurer (as of August 2004)</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Linda A. Goodspeed</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42</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Executive Vice President and Chief Technology Officer</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Robert J. McDonough</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w w:val="90"/>
              </w:rPr>
              <w:t>Executive Vice President and President and Chief Operating Officer, Worldwide Heating &amp; Cooling</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Michael G. Schwartz</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w w:val="95"/>
              </w:rPr>
              <w:t>Executive Vice President and President and Chief Operating Officer, Worldwide Refrigeration</w:t>
            </w:r>
          </w:p>
        </w:tc>
      </w:tr>
      <w:tr>
        <w:trPr>
          <w:trHeight w:val="191"/>
        </w:trPr>
        <w:tc>
          <w:tcPr>
            <w:tcW w:w="3900" w:type="dxa"/>
            <w:vAlign w:val="bottom"/>
          </w:tcPr>
          <w:p>
            <w:pPr>
              <w:spacing w:after="0"/>
              <w:rPr>
                <w:sz w:val="20"/>
                <w:szCs w:val="20"/>
                <w:color w:val="auto"/>
              </w:rPr>
            </w:pPr>
            <w:r>
              <w:rPr>
                <w:rFonts w:ascii="Arial" w:cs="Arial" w:eastAsia="Arial" w:hAnsi="Arial"/>
                <w:sz w:val="16"/>
                <w:szCs w:val="16"/>
                <w:color w:val="auto"/>
              </w:rPr>
              <w:t>William F. Stoll, Jr.</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Executive Vice President, Chief Legal Officer and Secretary (as of March 2004)</w:t>
            </w:r>
          </w:p>
        </w:tc>
      </w:tr>
      <w:tr>
        <w:trPr>
          <w:trHeight w:val="196"/>
        </w:trPr>
        <w:tc>
          <w:tcPr>
            <w:tcW w:w="3900" w:type="dxa"/>
            <w:vAlign w:val="bottom"/>
          </w:tcPr>
          <w:p>
            <w:pPr>
              <w:spacing w:after="0"/>
              <w:rPr>
                <w:sz w:val="20"/>
                <w:szCs w:val="20"/>
                <w:color w:val="auto"/>
              </w:rPr>
            </w:pPr>
            <w:r>
              <w:rPr>
                <w:rFonts w:ascii="Arial" w:cs="Arial" w:eastAsia="Arial" w:hAnsi="Arial"/>
                <w:sz w:val="16"/>
                <w:szCs w:val="16"/>
                <w:color w:val="auto"/>
              </w:rPr>
              <w:t>David L. Inman</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Vice President, Controller and Chief Accounting Officer</w:t>
            </w:r>
          </w:p>
        </w:tc>
      </w:tr>
    </w:tbl>
    <w:p>
      <w:pPr>
        <w:spacing w:after="0" w:line="2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biographies describe the business experience of the Company’s executive officers:</w:t>
      </w:r>
    </w:p>
    <w:p>
      <w:pPr>
        <w:spacing w:after="0" w:line="222" w:lineRule="exact"/>
        <w:rPr>
          <w:sz w:val="20"/>
          <w:szCs w:val="20"/>
          <w:color w:val="auto"/>
        </w:rPr>
      </w:pPr>
    </w:p>
    <w:p>
      <w:pPr>
        <w:ind w:right="140" w:firstLine="286"/>
        <w:spacing w:after="0" w:line="294" w:lineRule="auto"/>
        <w:rPr>
          <w:sz w:val="20"/>
          <w:szCs w:val="20"/>
          <w:color w:val="auto"/>
        </w:rPr>
      </w:pPr>
      <w:r>
        <w:rPr>
          <w:rFonts w:ascii="Arial" w:cs="Arial" w:eastAsia="Arial" w:hAnsi="Arial"/>
          <w:sz w:val="14"/>
          <w:szCs w:val="14"/>
          <w:i w:val="1"/>
          <w:iCs w:val="1"/>
          <w:color w:val="auto"/>
        </w:rPr>
        <w:t>John W. Norris, Jr.</w:t>
      </w:r>
      <w:r>
        <w:rPr>
          <w:rFonts w:ascii="Arial" w:cs="Arial" w:eastAsia="Arial" w:hAnsi="Arial"/>
          <w:sz w:val="14"/>
          <w:szCs w:val="14"/>
          <w:color w:val="auto"/>
        </w:rPr>
        <w:t>, 68, was elected Chairman of the Board of Directors of the Company in 1991. He has served as a Director of the Company since 1966. After joining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in 1960, Mr. Norris held a variety of key positions including Vice President of Marketing, President of Lennox Industries (Canada) Ltd., a subsidiary of the Company, and Corporate Senior Vice President. He became President of the Company in 1977 and was appointed President and Chief Executive Officer of the Company in 1980 and served through 2001. Mr. Norris is on the Board of Directors of the Air-Conditioning &amp; Refrigeration Institute, of which he was Chairman in 1986. He is also an active Board member of the Gas Appliance Manufacturers Association, where he was Chairman from 1980 to 1981. He is a past Chairman of The Nature Conservancy of Texas Board of Trustees. He also serves as a Director of AmerUs Group Co., a life insurance and annuity company.</w:t>
      </w:r>
    </w:p>
    <w:p>
      <w:pPr>
        <w:spacing w:after="0" w:line="176" w:lineRule="exact"/>
        <w:rPr>
          <w:sz w:val="20"/>
          <w:szCs w:val="20"/>
          <w:color w:val="auto"/>
        </w:rPr>
      </w:pPr>
    </w:p>
    <w:p>
      <w:pPr>
        <w:ind w:right="80" w:firstLine="286"/>
        <w:spacing w:after="0" w:line="252" w:lineRule="auto"/>
        <w:rPr>
          <w:sz w:val="20"/>
          <w:szCs w:val="20"/>
          <w:color w:val="auto"/>
        </w:rPr>
      </w:pPr>
      <w:r>
        <w:rPr>
          <w:rFonts w:ascii="Arial" w:cs="Arial" w:eastAsia="Arial" w:hAnsi="Arial"/>
          <w:sz w:val="16"/>
          <w:szCs w:val="16"/>
          <w:i w:val="1"/>
          <w:iCs w:val="1"/>
          <w:color w:val="auto"/>
        </w:rPr>
        <w:t>Robert E. Schjerven</w:t>
      </w:r>
      <w:r>
        <w:rPr>
          <w:rFonts w:ascii="Arial" w:cs="Arial" w:eastAsia="Arial" w:hAnsi="Arial"/>
          <w:sz w:val="16"/>
          <w:szCs w:val="16"/>
          <w:color w:val="auto"/>
        </w:rPr>
        <w:t>, 61, was named Chief Executive Officer of the Company in 2001 and has served on the Board of Directors since that time. Prior to his election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 Company, he served as Chief Operating Officer of the Company in 2000 and as President and Chief Operating Officer of Lennox Industries Inc., a subsidiary of the Company, from 1995 to 2000. He joined the Company in 1986 as Vice President of Marketing and Engineering for Heatcraft Inc., a subsidiary of the Company. From 1988 to 1991, he held the position of Vice President and General Manager of Heatcraft. From 1991 to 1995, he served as President and Chief Operating Officer of Armstrong Air Conditioning Inc., also a subsidiary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Company. Mr. Schjerven spent the first 20 years of his career with The Trane Company, an international manufacturer and marketer of HVAC systems, and McQuay-Perfex Inc.</w:t>
      </w:r>
    </w:p>
    <w:p>
      <w:pPr>
        <w:spacing w:after="0" w:line="244" w:lineRule="exact"/>
        <w:rPr>
          <w:sz w:val="20"/>
          <w:szCs w:val="20"/>
          <w:color w:val="auto"/>
        </w:rPr>
      </w:pPr>
    </w:p>
    <w:p>
      <w:pPr>
        <w:ind w:right="20" w:firstLine="286"/>
        <w:spacing w:after="0" w:line="301" w:lineRule="auto"/>
        <w:rPr>
          <w:sz w:val="20"/>
          <w:szCs w:val="20"/>
          <w:color w:val="auto"/>
        </w:rPr>
      </w:pPr>
      <w:r>
        <w:rPr>
          <w:rFonts w:ascii="Arial" w:cs="Arial" w:eastAsia="Arial" w:hAnsi="Arial"/>
          <w:sz w:val="14"/>
          <w:szCs w:val="14"/>
          <w:i w:val="1"/>
          <w:iCs w:val="1"/>
          <w:color w:val="auto"/>
        </w:rPr>
        <w:t>Harry J. Ashenhurst</w:t>
      </w:r>
      <w:r>
        <w:rPr>
          <w:rFonts w:ascii="Arial" w:cs="Arial" w:eastAsia="Arial" w:hAnsi="Arial"/>
          <w:sz w:val="14"/>
          <w:szCs w:val="14"/>
          <w:color w:val="auto"/>
        </w:rPr>
        <w:t>, 56, was appointed Chief Administrative Officer in 2000. Dr. Ashenhurst joined the Company in 1989 as Vice President of Human Resources, was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Vice President, Human Resources for the Company in 1990 and in 1994 became Executive Vice President, Human Resources and Administration and assumed responsibility for the public relations and communications and aviation departments. Currently, Dr. Ashenhurst also has responsibilities for risk management, corporate safety, facilities, government affairs and investor relations. Prior to joining the Company, he worked as an independent management consultant with the consulting firm of Roher, Hibler and Replogle.</w:t>
      </w:r>
    </w:p>
    <w:p>
      <w:pPr>
        <w:spacing w:after="0" w:line="170" w:lineRule="exact"/>
        <w:rPr>
          <w:sz w:val="20"/>
          <w:szCs w:val="20"/>
          <w:color w:val="auto"/>
        </w:rPr>
      </w:pPr>
    </w:p>
    <w:p>
      <w:pPr>
        <w:ind w:right="60" w:firstLine="286"/>
        <w:spacing w:after="0" w:line="297" w:lineRule="auto"/>
        <w:rPr>
          <w:sz w:val="20"/>
          <w:szCs w:val="20"/>
          <w:color w:val="auto"/>
        </w:rPr>
      </w:pPr>
      <w:r>
        <w:rPr>
          <w:rFonts w:ascii="Arial" w:cs="Arial" w:eastAsia="Arial" w:hAnsi="Arial"/>
          <w:sz w:val="14"/>
          <w:szCs w:val="14"/>
          <w:i w:val="1"/>
          <w:iCs w:val="1"/>
          <w:color w:val="auto"/>
        </w:rPr>
        <w:t>Scott J. Boxer</w:t>
      </w:r>
      <w:r>
        <w:rPr>
          <w:rFonts w:ascii="Arial" w:cs="Arial" w:eastAsia="Arial" w:hAnsi="Arial"/>
          <w:sz w:val="14"/>
          <w:szCs w:val="14"/>
          <w:color w:val="auto"/>
        </w:rPr>
        <w:t>, 54, joined the Company in 1998 as Executive Vice President, Lennox Global Ltd. and President, European Operations. He was appointed President, Lennox</w:t>
      </w:r>
      <w:r>
        <w:rPr>
          <w:rFonts w:ascii="Arial" w:cs="Arial" w:eastAsia="Arial" w:hAnsi="Arial"/>
          <w:sz w:val="14"/>
          <w:szCs w:val="14"/>
          <w:i w:val="1"/>
          <w:iCs w:val="1"/>
          <w:color w:val="auto"/>
        </w:rPr>
        <w:t xml:space="preserve"> </w:t>
      </w:r>
      <w:r>
        <w:rPr>
          <w:rFonts w:ascii="Arial" w:cs="Arial" w:eastAsia="Arial" w:hAnsi="Arial"/>
          <w:sz w:val="14"/>
          <w:szCs w:val="14"/>
          <w:color w:val="auto"/>
        </w:rPr>
        <w:t>Industries Inc. in 2000, and was named President and Chief Operating Officer of Service Experts in July 2003. Prior to joining the Company, Mr. Boxer spent 26 years with York International Corporation, a HVACR manufacturer, in various roles, most recently as President, Unitary Products Group Worldwide, where he reported directly to the Chairman of that company and was responsible for directing residential and light commercial heating and air conditioning operations worldwide. Mr. Boxer is an Executive Board Member of the Air-Conditioning &amp; Refrigeration Institute and an Officer on the Board of Trustees of North American Technician Excellence, Inc.</w:t>
      </w:r>
    </w:p>
    <w:p>
      <w:pPr>
        <w:spacing w:after="0" w:line="173" w:lineRule="exact"/>
        <w:rPr>
          <w:sz w:val="20"/>
          <w:szCs w:val="20"/>
          <w:color w:val="auto"/>
        </w:rPr>
      </w:pPr>
    </w:p>
    <w:p>
      <w:pPr>
        <w:ind w:firstLine="286"/>
        <w:spacing w:after="0" w:line="301" w:lineRule="auto"/>
        <w:rPr>
          <w:sz w:val="20"/>
          <w:szCs w:val="20"/>
          <w:color w:val="auto"/>
        </w:rPr>
      </w:pPr>
      <w:r>
        <w:rPr>
          <w:rFonts w:ascii="Arial" w:cs="Arial" w:eastAsia="Arial" w:hAnsi="Arial"/>
          <w:sz w:val="14"/>
          <w:szCs w:val="14"/>
          <w:i w:val="1"/>
          <w:iCs w:val="1"/>
          <w:color w:val="auto"/>
        </w:rPr>
        <w:t>Susan K. Carter</w:t>
      </w:r>
      <w:r>
        <w:rPr>
          <w:rFonts w:ascii="Arial" w:cs="Arial" w:eastAsia="Arial" w:hAnsi="Arial"/>
          <w:sz w:val="14"/>
          <w:szCs w:val="14"/>
          <w:color w:val="auto"/>
        </w:rPr>
        <w:t>, 45, was appointed Executive Vice President, Chief Financial Officer and Treasurer in August 2004. Prior to joining the Company, Ms. Carter was Vice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of Finance and Chief Accounting Officer of Cummins, Inc., a global power leader and manufacturer of engines, electric power generation systems, and engine-related products. Prior to her career at Cummins, Ms. Carter had been Vice President and Chief Financial Officer of Transportation &amp; Power Systems and held other senior financial management positions for Honeywell, Inc., formerly AlliedSignal, Inc. from 1996 to 2002. She had also previously served in senior financial management positions at Crane Co., and DeKalb Corporation.</w:t>
      </w:r>
    </w:p>
    <w:p>
      <w:pPr>
        <w:spacing w:after="0" w:line="170" w:lineRule="exact"/>
        <w:rPr>
          <w:sz w:val="20"/>
          <w:szCs w:val="20"/>
          <w:color w:val="auto"/>
        </w:rPr>
      </w:pPr>
    </w:p>
    <w:p>
      <w:pPr>
        <w:ind w:right="260" w:firstLine="286"/>
        <w:spacing w:after="0" w:line="297" w:lineRule="auto"/>
        <w:rPr>
          <w:sz w:val="20"/>
          <w:szCs w:val="20"/>
          <w:color w:val="auto"/>
        </w:rPr>
      </w:pPr>
      <w:r>
        <w:rPr>
          <w:rFonts w:ascii="Arial" w:cs="Arial" w:eastAsia="Arial" w:hAnsi="Arial"/>
          <w:sz w:val="14"/>
          <w:szCs w:val="14"/>
          <w:i w:val="1"/>
          <w:iCs w:val="1"/>
          <w:color w:val="auto"/>
        </w:rPr>
        <w:t>Linda A. Goodspeed</w:t>
      </w:r>
      <w:r>
        <w:rPr>
          <w:rFonts w:ascii="Arial" w:cs="Arial" w:eastAsia="Arial" w:hAnsi="Arial"/>
          <w:sz w:val="14"/>
          <w:szCs w:val="14"/>
          <w:color w:val="auto"/>
        </w:rPr>
        <w:t>, 42, was appointed Chief Technology Officer effective September 2001. Prior to joining the Company, Ms. Goodspeed was President and Chief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for Partminer, Inc., a privately held electronics B2B supply chain parts and service company. Before going to Partminer, Ms. Goodspeed had served since 1999 as Product General Manager of General Electric (GE) Appliances. She also became General Manager in 1999 for Six Sigma, managing a team of 160 GE quality leaders spanning operations across the company. Beginning her career in engineering with Ford Motor Company in 1984, Ms. Goodspeed moved to Nissan research and development in 1989 and joined GE in 1996. She became GE’s Range Product Development Manager in 1997 and was promoted to Product General Manager in 1999.</w:t>
      </w:r>
    </w:p>
    <w:p>
      <w:pPr>
        <w:spacing w:after="0" w:line="173" w:lineRule="exact"/>
        <w:rPr>
          <w:sz w:val="20"/>
          <w:szCs w:val="20"/>
          <w:color w:val="auto"/>
        </w:rPr>
      </w:pPr>
    </w:p>
    <w:p>
      <w:pPr>
        <w:ind w:right="40" w:firstLine="286"/>
        <w:spacing w:after="0" w:line="301" w:lineRule="auto"/>
        <w:rPr>
          <w:sz w:val="20"/>
          <w:szCs w:val="20"/>
          <w:color w:val="auto"/>
        </w:rPr>
      </w:pPr>
      <w:r>
        <w:rPr>
          <w:rFonts w:ascii="Arial" w:cs="Arial" w:eastAsia="Arial" w:hAnsi="Arial"/>
          <w:sz w:val="14"/>
          <w:szCs w:val="14"/>
          <w:i w:val="1"/>
          <w:iCs w:val="1"/>
          <w:color w:val="auto"/>
        </w:rPr>
        <w:t>Robert J. McDonough</w:t>
      </w:r>
      <w:r>
        <w:rPr>
          <w:rFonts w:ascii="Arial" w:cs="Arial" w:eastAsia="Arial" w:hAnsi="Arial"/>
          <w:sz w:val="14"/>
          <w:szCs w:val="14"/>
          <w:color w:val="auto"/>
        </w:rPr>
        <w:t>, 45, was named President and Chief Operating Officer, Worldwide Heating &amp; Cooling in July 2003. Previously he had been President, Worldwide</w:t>
      </w:r>
      <w:r>
        <w:rPr>
          <w:rFonts w:ascii="Arial" w:cs="Arial" w:eastAsia="Arial" w:hAnsi="Arial"/>
          <w:sz w:val="14"/>
          <w:szCs w:val="14"/>
          <w:i w:val="1"/>
          <w:iCs w:val="1"/>
          <w:color w:val="auto"/>
        </w:rPr>
        <w:t xml:space="preserve"> </w:t>
      </w:r>
      <w:r>
        <w:rPr>
          <w:rFonts w:ascii="Arial" w:cs="Arial" w:eastAsia="Arial" w:hAnsi="Arial"/>
          <w:sz w:val="14"/>
          <w:szCs w:val="14"/>
          <w:color w:val="auto"/>
        </w:rPr>
        <w:t>Refrigeration and International Operations since 2001. Mr. McDonough joined Heatcraft, Inc. in 1990, when the Company acquired Larkin Coils, as a Division Sales Manager. He was named Director of Sales in 1992 and became Vice President and General Manager of the Refrigeration Products Division in 1995. In 2000, he was appointed President, Worldwide Commercial Refrigeration. Previously he held a number of sales positions at Larkin Coils before becoming National Sales Manager in 1987.</w:t>
      </w:r>
    </w:p>
    <w:p>
      <w:pPr>
        <w:spacing w:after="0" w:line="170" w:lineRule="exact"/>
        <w:rPr>
          <w:sz w:val="20"/>
          <w:szCs w:val="20"/>
          <w:color w:val="auto"/>
        </w:rPr>
      </w:pPr>
    </w:p>
    <w:p>
      <w:pPr>
        <w:jc w:val="both"/>
        <w:ind w:firstLine="286"/>
        <w:spacing w:after="0" w:line="301" w:lineRule="auto"/>
        <w:rPr>
          <w:sz w:val="20"/>
          <w:szCs w:val="20"/>
          <w:color w:val="auto"/>
        </w:rPr>
      </w:pPr>
      <w:r>
        <w:rPr>
          <w:rFonts w:ascii="Arial" w:cs="Arial" w:eastAsia="Arial" w:hAnsi="Arial"/>
          <w:sz w:val="14"/>
          <w:szCs w:val="14"/>
          <w:i w:val="1"/>
          <w:iCs w:val="1"/>
          <w:color w:val="auto"/>
        </w:rPr>
        <w:t>Michael G. Schwartz</w:t>
      </w:r>
      <w:r>
        <w:rPr>
          <w:rFonts w:ascii="Arial" w:cs="Arial" w:eastAsia="Arial" w:hAnsi="Arial"/>
          <w:sz w:val="14"/>
          <w:szCs w:val="14"/>
          <w:color w:val="auto"/>
        </w:rPr>
        <w:t>, 46, became President and Chief Operating Officer, Worldwide Refrigeration in July 2003. Prior to his current appointment, he had served as President, North</w:t>
      </w:r>
      <w:r>
        <w:rPr>
          <w:rFonts w:ascii="Arial" w:cs="Arial" w:eastAsia="Arial" w:hAnsi="Arial"/>
          <w:sz w:val="14"/>
          <w:szCs w:val="14"/>
          <w:i w:val="1"/>
          <w:iCs w:val="1"/>
          <w:color w:val="auto"/>
        </w:rPr>
        <w:t xml:space="preserve"> </w:t>
      </w:r>
      <w:r>
        <w:rPr>
          <w:rFonts w:ascii="Arial" w:cs="Arial" w:eastAsia="Arial" w:hAnsi="Arial"/>
          <w:sz w:val="14"/>
          <w:szCs w:val="14"/>
          <w:color w:val="auto"/>
        </w:rPr>
        <w:t>American Distributed Products since 2000, and President and Chief Operating Officer of Armstrong Air Conditioning Inc. since 1997. Mr. Schwartz joined Heatcraft in 1990 when the Company acquired Bohn Heat Transfer Inc. and served as Director of Sales and Marketing, Original Equipment Manufacturer Products and Vice President of Commercial Products for Heatcraft Inc. where his responsibilities included the development of Heatcraft’s position in the A-Coil market. Mr. Schwartz began his career with Bohn Heat Transfer Inc. in 1981.</w:t>
      </w:r>
    </w:p>
    <w:p>
      <w:pPr>
        <w:spacing w:after="0" w:line="170" w:lineRule="exact"/>
        <w:rPr>
          <w:sz w:val="20"/>
          <w:szCs w:val="20"/>
          <w:color w:val="auto"/>
        </w:rPr>
      </w:pPr>
    </w:p>
    <w:p>
      <w:pPr>
        <w:ind w:right="100" w:firstLine="286"/>
        <w:spacing w:after="0" w:line="264" w:lineRule="auto"/>
        <w:rPr>
          <w:sz w:val="20"/>
          <w:szCs w:val="20"/>
          <w:color w:val="auto"/>
        </w:rPr>
      </w:pPr>
      <w:r>
        <w:rPr>
          <w:rFonts w:ascii="Arial" w:cs="Arial" w:eastAsia="Arial" w:hAnsi="Arial"/>
          <w:sz w:val="16"/>
          <w:szCs w:val="16"/>
          <w:i w:val="1"/>
          <w:iCs w:val="1"/>
          <w:color w:val="auto"/>
        </w:rPr>
        <w:t>William F. Stoll, Jr.</w:t>
      </w:r>
      <w:r>
        <w:rPr>
          <w:rFonts w:ascii="Arial" w:cs="Arial" w:eastAsia="Arial" w:hAnsi="Arial"/>
          <w:sz w:val="16"/>
          <w:szCs w:val="16"/>
          <w:color w:val="auto"/>
        </w:rPr>
        <w:t>, 56, became Executive Vice President and Chief Legal Officer for Lennox International in March 2004. Most recently, Mr. Stoll was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Legal Officer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for Borden, Inc. from 1996 to 2003. Prior to his career with Borden Inc., he worked for 21 years with Westinghouse Electric Corporation, becoming Vice President and Deputy General Counsel in 1993.</w:t>
      </w:r>
    </w:p>
    <w:p>
      <w:pPr>
        <w:spacing w:after="0" w:line="192" w:lineRule="exact"/>
        <w:rPr>
          <w:sz w:val="20"/>
          <w:szCs w:val="20"/>
          <w:color w:val="auto"/>
        </w:rPr>
      </w:pPr>
    </w:p>
    <w:p>
      <w:pPr>
        <w:jc w:val="both"/>
        <w:ind w:right="160" w:firstLine="286"/>
        <w:spacing w:after="0" w:line="256" w:lineRule="auto"/>
        <w:rPr>
          <w:sz w:val="20"/>
          <w:szCs w:val="20"/>
          <w:color w:val="auto"/>
        </w:rPr>
      </w:pPr>
      <w:r>
        <w:rPr>
          <w:rFonts w:ascii="Arial" w:cs="Arial" w:eastAsia="Arial" w:hAnsi="Arial"/>
          <w:sz w:val="16"/>
          <w:szCs w:val="16"/>
          <w:i w:val="1"/>
          <w:iCs w:val="1"/>
          <w:color w:val="auto"/>
        </w:rPr>
        <w:t>David L. Inman</w:t>
      </w:r>
      <w:r>
        <w:rPr>
          <w:rFonts w:ascii="Arial" w:cs="Arial" w:eastAsia="Arial" w:hAnsi="Arial"/>
          <w:sz w:val="16"/>
          <w:szCs w:val="16"/>
          <w:color w:val="auto"/>
        </w:rPr>
        <w:t>, 49, was named Vice President, Controller and Chief Accounting Officer for the Company in 2001. Previously, he served as Vice President and Group Controller</w:t>
      </w:r>
      <w:r>
        <w:rPr>
          <w:rFonts w:ascii="Arial" w:cs="Arial" w:eastAsia="Arial" w:hAnsi="Arial"/>
          <w:sz w:val="16"/>
          <w:szCs w:val="16"/>
          <w:i w:val="1"/>
          <w:iCs w:val="1"/>
          <w:color w:val="auto"/>
        </w:rPr>
        <w:t xml:space="preserve"> </w:t>
      </w:r>
      <w:r>
        <w:rPr>
          <w:rFonts w:ascii="Arial" w:cs="Arial" w:eastAsia="Arial" w:hAnsi="Arial"/>
          <w:sz w:val="16"/>
          <w:szCs w:val="16"/>
          <w:color w:val="auto"/>
        </w:rPr>
        <w:t>of North American Distributed Products from 2000 to 2001. Mr. Inman has held multiple positions in accounting, internal audit and financial systems within the Company including Controller of Armstrong Air Conditioning Inc., a subsidiary of the Company.</w:t>
      </w:r>
    </w:p>
    <w:p>
      <w:pPr>
        <w:spacing w:after="0" w:line="38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Property and Leases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chart lists the Company’s major domestic and international manufacturing, distribution and office facilities and whether such facilities are owned or leased: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60" w:type="dxa"/>
            <w:vAlign w:val="bottom"/>
          </w:tcPr>
          <w:p>
            <w:pPr>
              <w:ind w:left="1500"/>
              <w:spacing w:after="0"/>
              <w:rPr>
                <w:sz w:val="20"/>
                <w:szCs w:val="20"/>
                <w:color w:val="auto"/>
              </w:rPr>
            </w:pPr>
            <w:r>
              <w:rPr>
                <w:rFonts w:ascii="Arial" w:cs="Arial" w:eastAsia="Arial" w:hAnsi="Arial"/>
                <w:sz w:val="12"/>
                <w:szCs w:val="12"/>
                <w:b w:val="1"/>
                <w:bCs w:val="1"/>
                <w:color w:val="auto"/>
              </w:rPr>
              <w:t>Location</w:t>
            </w:r>
          </w:p>
        </w:tc>
        <w:tc>
          <w:tcPr>
            <w:tcW w:w="300" w:type="dxa"/>
            <w:vAlign w:val="bottom"/>
          </w:tcPr>
          <w:p>
            <w:pPr>
              <w:spacing w:after="0"/>
              <w:rPr>
                <w:sz w:val="13"/>
                <w:szCs w:val="13"/>
                <w:color w:val="auto"/>
              </w:rPr>
            </w:pPr>
          </w:p>
        </w:tc>
        <w:tc>
          <w:tcPr>
            <w:tcW w:w="2960" w:type="dxa"/>
            <w:vAlign w:val="bottom"/>
          </w:tcPr>
          <w:p>
            <w:pPr>
              <w:ind w:left="1260"/>
              <w:spacing w:after="0"/>
              <w:rPr>
                <w:sz w:val="20"/>
                <w:szCs w:val="20"/>
                <w:color w:val="auto"/>
              </w:rPr>
            </w:pPr>
            <w:r>
              <w:rPr>
                <w:rFonts w:ascii="Arial" w:cs="Arial" w:eastAsia="Arial" w:hAnsi="Arial"/>
                <w:sz w:val="12"/>
                <w:szCs w:val="12"/>
                <w:b w:val="1"/>
                <w:bCs w:val="1"/>
                <w:color w:val="auto"/>
              </w:rPr>
              <w:t>Segment</w:t>
            </w:r>
          </w:p>
        </w:tc>
        <w:tc>
          <w:tcPr>
            <w:tcW w:w="300" w:type="dxa"/>
            <w:vAlign w:val="bottom"/>
          </w:tcPr>
          <w:p>
            <w:pPr>
              <w:spacing w:after="0"/>
              <w:rPr>
                <w:sz w:val="13"/>
                <w:szCs w:val="13"/>
                <w:color w:val="auto"/>
              </w:rPr>
            </w:pPr>
          </w:p>
        </w:tc>
        <w:tc>
          <w:tcPr>
            <w:tcW w:w="1840" w:type="dxa"/>
            <w:vAlign w:val="bottom"/>
          </w:tcPr>
          <w:p>
            <w:pPr>
              <w:jc w:val="right"/>
              <w:ind w:right="480"/>
              <w:spacing w:after="0"/>
              <w:rPr>
                <w:sz w:val="20"/>
                <w:szCs w:val="20"/>
                <w:color w:val="auto"/>
              </w:rPr>
            </w:pPr>
            <w:r>
              <w:rPr>
                <w:rFonts w:ascii="Arial" w:cs="Arial" w:eastAsia="Arial" w:hAnsi="Arial"/>
                <w:sz w:val="12"/>
                <w:szCs w:val="12"/>
                <w:b w:val="1"/>
                <w:bCs w:val="1"/>
                <w:color w:val="auto"/>
              </w:rPr>
              <w:t>Approx. Sq. Ft.</w:t>
            </w:r>
          </w:p>
        </w:tc>
        <w:tc>
          <w:tcPr>
            <w:tcW w:w="300" w:type="dxa"/>
            <w:vAlign w:val="bottom"/>
          </w:tcPr>
          <w:p>
            <w:pPr>
              <w:spacing w:after="0"/>
              <w:rPr>
                <w:sz w:val="13"/>
                <w:szCs w:val="13"/>
                <w:color w:val="auto"/>
              </w:rPr>
            </w:pPr>
          </w:p>
        </w:tc>
        <w:tc>
          <w:tcPr>
            <w:tcW w:w="2280" w:type="dxa"/>
            <w:vAlign w:val="bottom"/>
          </w:tcPr>
          <w:p>
            <w:pPr>
              <w:jc w:val="right"/>
              <w:ind w:right="683"/>
              <w:spacing w:after="0"/>
              <w:rPr>
                <w:sz w:val="20"/>
                <w:szCs w:val="20"/>
                <w:color w:val="auto"/>
              </w:rPr>
            </w:pPr>
            <w:r>
              <w:rPr>
                <w:rFonts w:ascii="Arial" w:cs="Arial" w:eastAsia="Arial" w:hAnsi="Arial"/>
                <w:sz w:val="12"/>
                <w:szCs w:val="12"/>
                <w:b w:val="1"/>
                <w:bCs w:val="1"/>
                <w:color w:val="auto"/>
              </w:rPr>
              <w:t>Owned/Leased</w:t>
            </w:r>
          </w:p>
        </w:tc>
      </w:tr>
      <w:tr>
        <w:trPr>
          <w:trHeight w:val="83"/>
        </w:trPr>
        <w:tc>
          <w:tcPr>
            <w:tcW w:w="34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9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8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r>
      <w:tr>
        <w:trPr>
          <w:trHeight w:val="211"/>
        </w:trPr>
        <w:tc>
          <w:tcPr>
            <w:tcW w:w="3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ind w:right="500"/>
              <w:spacing w:after="0"/>
              <w:rPr>
                <w:sz w:val="20"/>
                <w:szCs w:val="20"/>
                <w:color w:val="auto"/>
              </w:rPr>
            </w:pPr>
            <w:r>
              <w:rPr>
                <w:rFonts w:ascii="Arial" w:cs="Arial" w:eastAsia="Arial" w:hAnsi="Arial"/>
                <w:sz w:val="12"/>
                <w:szCs w:val="12"/>
                <w:b w:val="1"/>
                <w:bCs w:val="1"/>
                <w:color w:val="auto"/>
              </w:rPr>
              <w:t>(in thousands)</w:t>
            </w: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Richardson, TX</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Headquarters</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 &amp; 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Marshalltown, IA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1,300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 &amp; 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Bellevue, OH</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613</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Blackville, SC</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375</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Orangeburg, SC</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329</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Grenada, MS</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Union City, TN</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295</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Lynwood, CA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200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Burlington, WA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Orange, CA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Laval, Canada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Residential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152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Des Moines, IA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w w:val="92"/>
              </w:rPr>
              <w:t>Residential &amp; 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352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Stuttgart, AR</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Prague, Czech Republic</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161</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Longvic, France</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Mions, France</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129</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Burgos, Spain</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Commercial Heating &amp; Cooling</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Danville, IL</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322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Tifton, GA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232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Stone Mountain, GA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Milperra, Australia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412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Genas, France</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San Jose dos Campos, Brazil</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160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Auckland, New Zealand</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Barcelona, Spain</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65</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Krunkel, Germany</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Wuzi, China</w:t>
            </w:r>
          </w:p>
        </w:tc>
        <w:tc>
          <w:tcPr>
            <w:tcW w:w="30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Refrigeration</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6"/>
                <w:szCs w:val="16"/>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Leased</w:t>
            </w:r>
          </w:p>
        </w:tc>
      </w:tr>
      <w:tr>
        <w:trPr>
          <w:trHeight w:val="196"/>
        </w:trPr>
        <w:tc>
          <w:tcPr>
            <w:tcW w:w="3460" w:type="dxa"/>
            <w:vAlign w:val="bottom"/>
          </w:tcPr>
          <w:p>
            <w:pPr>
              <w:spacing w:after="0"/>
              <w:rPr>
                <w:sz w:val="20"/>
                <w:szCs w:val="20"/>
                <w:color w:val="auto"/>
              </w:rPr>
            </w:pPr>
            <w:r>
              <w:rPr>
                <w:rFonts w:ascii="Arial" w:cs="Arial" w:eastAsia="Arial" w:hAnsi="Arial"/>
                <w:sz w:val="16"/>
                <w:szCs w:val="16"/>
                <w:color w:val="auto"/>
              </w:rPr>
              <w:t>Carrollton, TX</w:t>
            </w:r>
          </w:p>
        </w:tc>
        <w:tc>
          <w:tcPr>
            <w:tcW w:w="30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Research &amp; Development facility</w:t>
            </w:r>
          </w:p>
        </w:tc>
        <w:tc>
          <w:tcPr>
            <w:tcW w:w="2140" w:type="dxa"/>
            <w:vAlign w:val="bottom"/>
            <w:gridSpan w:val="2"/>
          </w:tcPr>
          <w:p>
            <w:pPr>
              <w:jc w:val="right"/>
              <w:ind w:right="680"/>
              <w:spacing w:after="0"/>
              <w:rPr>
                <w:sz w:val="20"/>
                <w:szCs w:val="20"/>
                <w:color w:val="auto"/>
              </w:rPr>
            </w:pPr>
            <w:r>
              <w:rPr>
                <w:rFonts w:ascii="Arial" w:cs="Arial" w:eastAsia="Arial" w:hAnsi="Arial"/>
                <w:sz w:val="16"/>
                <w:szCs w:val="16"/>
                <w:color w:val="auto"/>
              </w:rPr>
              <w:t>130</w:t>
            </w:r>
          </w:p>
        </w:tc>
        <w:tc>
          <w:tcPr>
            <w:tcW w:w="300" w:type="dxa"/>
            <w:vAlign w:val="bottom"/>
          </w:tcPr>
          <w:p>
            <w:pPr>
              <w:spacing w:after="0"/>
              <w:rPr>
                <w:sz w:val="17"/>
                <w:szCs w:val="17"/>
                <w:color w:val="auto"/>
              </w:rPr>
            </w:pPr>
          </w:p>
        </w:tc>
        <w:tc>
          <w:tcPr>
            <w:tcW w:w="2280" w:type="dxa"/>
            <w:vAlign w:val="bottom"/>
          </w:tcPr>
          <w:p>
            <w:pPr>
              <w:jc w:val="right"/>
              <w:ind w:right="523"/>
              <w:spacing w:after="0"/>
              <w:rPr>
                <w:sz w:val="20"/>
                <w:szCs w:val="20"/>
                <w:color w:val="auto"/>
              </w:rPr>
            </w:pPr>
            <w:r>
              <w:rPr>
                <w:rFonts w:ascii="Arial" w:cs="Arial" w:eastAsia="Arial" w:hAnsi="Arial"/>
                <w:sz w:val="16"/>
                <w:szCs w:val="16"/>
                <w:color w:val="auto"/>
              </w:rPr>
              <w:t>Owned</w:t>
            </w:r>
          </w:p>
        </w:tc>
      </w:tr>
      <w:tr>
        <w:trPr>
          <w:trHeight w:val="382"/>
        </w:trPr>
        <w:tc>
          <w:tcPr>
            <w:tcW w:w="3460" w:type="dxa"/>
            <w:vAlign w:val="bottom"/>
          </w:tcPr>
          <w:p>
            <w:pPr>
              <w:spacing w:after="0"/>
              <w:rPr>
                <w:sz w:val="24"/>
                <w:szCs w:val="24"/>
                <w:color w:val="auto"/>
              </w:rPr>
            </w:pPr>
          </w:p>
        </w:tc>
        <w:tc>
          <w:tcPr>
            <w:tcW w:w="3260" w:type="dxa"/>
            <w:vAlign w:val="bottom"/>
            <w:gridSpan w:val="2"/>
          </w:tcPr>
          <w:p>
            <w:pPr>
              <w:jc w:val="right"/>
              <w:ind w:right="863"/>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0"/>
        </w:trPr>
        <w:tc>
          <w:tcPr>
            <w:tcW w:w="34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9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2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140" w:firstLine="286"/>
        <w:spacing w:after="0" w:line="254" w:lineRule="auto"/>
        <w:rPr>
          <w:sz w:val="20"/>
          <w:szCs w:val="20"/>
          <w:color w:val="auto"/>
        </w:rPr>
      </w:pPr>
      <w:r>
        <w:rPr>
          <w:rFonts w:ascii="Arial" w:cs="Arial" w:eastAsia="Arial" w:hAnsi="Arial"/>
          <w:sz w:val="16"/>
          <w:szCs w:val="16"/>
          <w:color w:val="auto"/>
        </w:rPr>
        <w:t>In addition to the properties described above and excluding dealer facilities, the Company leases over 55 facilities in the United States for use as sales offices and district warehouses and additional facilities worldwide for use as sales and service offices and regional warehouses. The vast majority of Company-owned service center facilities are leased and the remainders are owned. The Company believes that its properties are in good condition and adequate for its present requirements. The Company also believes that its principal plants are generally adequate to meet its production needs.</w:t>
      </w:r>
    </w:p>
    <w:p>
      <w:pPr>
        <w:spacing w:after="0" w:line="38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3"/>
          <w:szCs w:val="13"/>
          <w:b w:val="1"/>
          <w:bCs w:val="1"/>
          <w:i w:val="1"/>
          <w:iCs w:val="1"/>
          <w:color w:val="auto"/>
        </w:rPr>
        <w:t>Legal Proceedings</w:t>
      </w:r>
    </w:p>
    <w:p>
      <w:pPr>
        <w:spacing w:after="0" w:line="228" w:lineRule="exact"/>
        <w:rPr>
          <w:sz w:val="20"/>
          <w:szCs w:val="20"/>
          <w:color w:val="auto"/>
        </w:rPr>
      </w:pPr>
    </w:p>
    <w:p>
      <w:pPr>
        <w:ind w:right="20" w:firstLine="286"/>
        <w:spacing w:after="0" w:line="297" w:lineRule="auto"/>
        <w:rPr>
          <w:sz w:val="20"/>
          <w:szCs w:val="20"/>
          <w:color w:val="auto"/>
        </w:rPr>
      </w:pPr>
      <w:r>
        <w:rPr>
          <w:rFonts w:ascii="Arial" w:cs="Arial" w:eastAsia="Arial" w:hAnsi="Arial"/>
          <w:sz w:val="14"/>
          <w:szCs w:val="14"/>
          <w:color w:val="auto"/>
        </w:rPr>
        <w:t>The Company is involved in various claims and lawsuits incidental to its business. In addition, the Company and its subsidiary Heatcraft Inc. have been named in four lawsuits in connection with its former heat transfer operations. The lawsuits allege personal injury resulting from alleged emissions of trichloroethylene, dichloroethylene, and vinyl chloride and other unspecified emissions from the South Plant in Grenada, Mississippi, previously owned by Heatcraft Inc. It is not possible to predict with certainty the outcome of these matters or an estimate of any potential loss; however, based on present knowledge, management believes that it is unlikely that resolution of these matters will result in a material liability for the Company. As of December 31, 2003, no accrual has been made for these matters.</w:t>
      </w:r>
    </w:p>
    <w:p>
      <w:pPr>
        <w:spacing w:after="0" w:line="173" w:lineRule="exact"/>
        <w:rPr>
          <w:sz w:val="20"/>
          <w:szCs w:val="20"/>
          <w:color w:val="auto"/>
        </w:rPr>
      </w:pPr>
    </w:p>
    <w:p>
      <w:pPr>
        <w:ind w:firstLine="286"/>
        <w:spacing w:after="0" w:line="252" w:lineRule="auto"/>
        <w:rPr>
          <w:sz w:val="20"/>
          <w:szCs w:val="20"/>
          <w:color w:val="auto"/>
        </w:rPr>
      </w:pPr>
      <w:r>
        <w:rPr>
          <w:rFonts w:ascii="Arial" w:cs="Arial" w:eastAsia="Arial" w:hAnsi="Arial"/>
          <w:sz w:val="16"/>
          <w:szCs w:val="16"/>
          <w:color w:val="auto"/>
        </w:rPr>
        <w:t>As more fully described under “Item 9A — Controls and Procedures,” in March 2004 the Company announced that the Audit Committee of the Company’s Board of Directors was initiating an independent inquiry into certain accounting matters related to the Company’s Canadian service centers in its Service Experts operations. Immediately prior to such announcement, the Company contacted the Fort Worth office of the Securities and Exchange Commission (“SEC”) to inform the SEC of the existence and details of such allegations and the related independent inquiry. Independent counsel for the Audit Committee has communicated the results of the independent inquiry to the SEC, and the Company has produced documents in response to requests from the SEC. The Company will continue to cooperate with the SEC staff in its continuing informal inquiry, but the Company is unable to predict the ultimate outcome of this matter.</w:t>
      </w:r>
    </w:p>
    <w:p>
      <w:pPr>
        <w:spacing w:after="0" w:line="38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i w:val="1"/>
          <w:iCs w:val="1"/>
          <w:color w:val="auto"/>
        </w:rPr>
        <w:t>Submission of Matters to a Vote of Security Holders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matters submitted to a vote of security holders during the fourth quarter of fiscal year 2003.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6" w:name="page17"/>
    <w:bookmarkEnd w:id="16"/>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spacing w:after="0" w:line="212" w:lineRule="exact"/>
        <w:rPr>
          <w:sz w:val="20"/>
          <w:szCs w:val="20"/>
          <w:color w:val="auto"/>
        </w:rPr>
      </w:pPr>
    </w:p>
    <w:p>
      <w:pPr>
        <w:ind w:left="5"/>
        <w:spacing w:after="0"/>
        <w:tabs>
          <w:tab w:leader="none" w:pos="904"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3"/>
          <w:szCs w:val="13"/>
          <w:b w:val="1"/>
          <w:bCs w:val="1"/>
          <w:i w:val="1"/>
          <w:iCs w:val="1"/>
          <w:color w:val="auto"/>
        </w:rPr>
        <w:t>Market for Registrant’s Common Stock, Related Stockholder Matters and Issuer Purchases of Equity Securities</w:t>
      </w:r>
    </w:p>
    <w:p>
      <w:pPr>
        <w:spacing w:after="0" w:line="228" w:lineRule="exact"/>
        <w:rPr>
          <w:sz w:val="20"/>
          <w:szCs w:val="20"/>
          <w:color w:val="auto"/>
        </w:rPr>
      </w:pPr>
    </w:p>
    <w:p>
      <w:pPr>
        <w:ind w:left="5" w:firstLine="286"/>
        <w:spacing w:after="0" w:line="297" w:lineRule="auto"/>
        <w:rPr>
          <w:sz w:val="20"/>
          <w:szCs w:val="20"/>
          <w:color w:val="auto"/>
        </w:rPr>
      </w:pPr>
      <w:r>
        <w:rPr>
          <w:rFonts w:ascii="Arial" w:cs="Arial" w:eastAsia="Arial" w:hAnsi="Arial"/>
          <w:sz w:val="14"/>
          <w:szCs w:val="14"/>
          <w:color w:val="auto"/>
        </w:rPr>
        <w:t>The Company’s common stock is listed for trading on the New York Stock Exchange under the symbol “LII.” The high and low sales prices for the Company’s common stock for each quarterly period during 2003 and 2002 are set forth in Note 16 of the Notes to Consolidated Financial Statements on page 71 herein. During 2003 and 2002, the Company declared quarterly cash dividends as set forth in Note 16 of the Notes to Consolidated Financial Statements on page 71 herein. The quarterly dividend declared in December 2003 was paid on January 2, 2004. The amount and timing of dividend payments are determined by the Company’s Board of Directors and subject to certain restrictions under the Company’s credit agreements. As of October 15, 2004, there were approximately 11,000 beneficial holders of the Company’s common stock.</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Equity Compensation Plans Information</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Information contained under the caption “Equity Compensation Plans Information” is discussed in Item 12 herein on page 80.</w:t>
      </w:r>
    </w:p>
    <w:p>
      <w:pPr>
        <w:spacing w:after="0" w:line="200" w:lineRule="exact"/>
        <w:rPr>
          <w:sz w:val="20"/>
          <w:szCs w:val="20"/>
          <w:color w:val="auto"/>
        </w:rPr>
      </w:pPr>
    </w:p>
    <w:p>
      <w:pPr>
        <w:spacing w:after="0" w:line="206" w:lineRule="exact"/>
        <w:rPr>
          <w:sz w:val="20"/>
          <w:szCs w:val="20"/>
          <w:color w:val="auto"/>
        </w:rPr>
      </w:pPr>
    </w:p>
    <w:p>
      <w:pPr>
        <w:ind w:left="5"/>
        <w:spacing w:after="0"/>
        <w:tabs>
          <w:tab w:leader="none" w:pos="904"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3"/>
          <w:szCs w:val="13"/>
          <w:b w:val="1"/>
          <w:bCs w:val="1"/>
          <w:i w:val="1"/>
          <w:iCs w:val="1"/>
          <w:color w:val="auto"/>
        </w:rPr>
        <w:t>Selected Financial Data</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table below shows the selected financial data of the Company for the five years ended December 31, 2003:</w:t>
      </w:r>
    </w:p>
    <w:p>
      <w:pPr>
        <w:spacing w:after="0" w:line="385" w:lineRule="exact"/>
        <w:rPr>
          <w:sz w:val="20"/>
          <w:szCs w:val="20"/>
          <w:color w:val="auto"/>
        </w:rPr>
      </w:pPr>
    </w:p>
    <w:tbl>
      <w:tblPr>
        <w:tblLayout w:type="fixed"/>
        <w:tblInd w:w="565"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w w:val="92"/>
              </w:rPr>
              <w:t>For the Year Ending December 31,</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25"/>
              <w:spacing w:after="0"/>
              <w:rPr>
                <w:sz w:val="20"/>
                <w:szCs w:val="20"/>
                <w:color w:val="auto"/>
              </w:rPr>
            </w:pPr>
            <w:r>
              <w:rPr>
                <w:rFonts w:ascii="Arial" w:cs="Arial" w:eastAsia="Arial" w:hAnsi="Arial"/>
                <w:sz w:val="12"/>
                <w:szCs w:val="12"/>
                <w:b w:val="1"/>
                <w:bCs w:val="1"/>
                <w:color w:val="auto"/>
                <w:w w:val="86"/>
              </w:rPr>
              <w:t>Restated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jc w:val="right"/>
              <w:ind w:right="284"/>
              <w:spacing w:after="0"/>
              <w:rPr>
                <w:sz w:val="20"/>
                <w:szCs w:val="20"/>
                <w:color w:val="auto"/>
              </w:rPr>
            </w:pPr>
            <w:r>
              <w:rPr>
                <w:rFonts w:ascii="Arial" w:cs="Arial" w:eastAsia="Arial" w:hAnsi="Arial"/>
                <w:sz w:val="12"/>
                <w:szCs w:val="12"/>
                <w:b w:val="1"/>
                <w:bCs w:val="1"/>
                <w:color w:val="auto"/>
              </w:rPr>
              <w:t>2003</w:t>
            </w:r>
          </w:p>
        </w:tc>
        <w:tc>
          <w:tcPr>
            <w:tcW w:w="260" w:type="dxa"/>
            <w:vAlign w:val="bottom"/>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jc w:val="right"/>
              <w:ind w:right="65"/>
              <w:spacing w:after="0"/>
              <w:rPr>
                <w:sz w:val="20"/>
                <w:szCs w:val="20"/>
                <w:color w:val="auto"/>
              </w:rPr>
            </w:pPr>
            <w:r>
              <w:rPr>
                <w:rFonts w:ascii="Arial" w:cs="Arial" w:eastAsia="Arial" w:hAnsi="Arial"/>
                <w:sz w:val="12"/>
                <w:szCs w:val="12"/>
                <w:b w:val="1"/>
                <w:bCs w:val="1"/>
                <w:color w:val="auto"/>
                <w:w w:val="94"/>
              </w:rPr>
              <w:t>2002</w:t>
            </w:r>
            <w:r>
              <w:rPr>
                <w:rFonts w:ascii="Arial" w:cs="Arial" w:eastAsia="Arial" w:hAnsi="Arial"/>
                <w:sz w:val="19"/>
                <w:szCs w:val="19"/>
                <w:b w:val="1"/>
                <w:bCs w:val="1"/>
                <w:color w:val="auto"/>
                <w:w w:val="94"/>
                <w:vertAlign w:val="superscript"/>
              </w:rPr>
              <w:t>(1)</w:t>
            </w:r>
          </w:p>
        </w:tc>
        <w:tc>
          <w:tcPr>
            <w:tcW w:w="240" w:type="dxa"/>
            <w:vAlign w:val="bottom"/>
            <w:tcBorders>
              <w:bottom w:val="single" w:sz="8" w:color="808080"/>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jc w:val="right"/>
              <w:ind w:right="284"/>
              <w:spacing w:after="0"/>
              <w:rPr>
                <w:sz w:val="20"/>
                <w:szCs w:val="20"/>
                <w:color w:val="auto"/>
              </w:rPr>
            </w:pPr>
            <w:r>
              <w:rPr>
                <w:rFonts w:ascii="Arial" w:cs="Arial" w:eastAsia="Arial" w:hAnsi="Arial"/>
                <w:sz w:val="12"/>
                <w:szCs w:val="12"/>
                <w:b w:val="1"/>
                <w:bCs w:val="1"/>
                <w:color w:val="auto"/>
              </w:rPr>
              <w:t>2001</w:t>
            </w:r>
          </w:p>
        </w:tc>
        <w:tc>
          <w:tcPr>
            <w:tcW w:w="260" w:type="dxa"/>
            <w:vAlign w:val="bottom"/>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jc w:val="right"/>
              <w:ind w:right="304"/>
              <w:spacing w:after="0"/>
              <w:rPr>
                <w:sz w:val="20"/>
                <w:szCs w:val="20"/>
                <w:color w:val="auto"/>
              </w:rPr>
            </w:pPr>
            <w:r>
              <w:rPr>
                <w:rFonts w:ascii="Arial" w:cs="Arial" w:eastAsia="Arial" w:hAnsi="Arial"/>
                <w:sz w:val="12"/>
                <w:szCs w:val="12"/>
                <w:b w:val="1"/>
                <w:bCs w:val="1"/>
                <w:color w:val="auto"/>
              </w:rPr>
              <w:t>2000</w:t>
            </w:r>
          </w:p>
        </w:tc>
        <w:tc>
          <w:tcPr>
            <w:tcW w:w="240" w:type="dxa"/>
            <w:vAlign w:val="bottom"/>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jc w:val="right"/>
              <w:ind w:right="284"/>
              <w:spacing w:after="0"/>
              <w:rPr>
                <w:sz w:val="20"/>
                <w:szCs w:val="20"/>
                <w:color w:val="auto"/>
              </w:rPr>
            </w:pPr>
            <w:r>
              <w:rPr>
                <w:rFonts w:ascii="Arial" w:cs="Arial" w:eastAsia="Arial" w:hAnsi="Arial"/>
                <w:sz w:val="12"/>
                <w:szCs w:val="12"/>
                <w:b w:val="1"/>
                <w:bCs w:val="1"/>
                <w:color w:val="auto"/>
              </w:rPr>
              <w:t>1999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w w:val="91"/>
              </w:rPr>
              <w:t>(in millions, except per share data)</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spacing w:after="0" w:line="227" w:lineRule="exact"/>
              <w:rPr>
                <w:sz w:val="20"/>
                <w:szCs w:val="20"/>
                <w:color w:val="auto"/>
              </w:rPr>
            </w:pPr>
            <w:r>
              <w:rPr>
                <w:rFonts w:ascii="Arial" w:cs="Arial" w:eastAsia="Arial" w:hAnsi="Arial"/>
                <w:sz w:val="16"/>
                <w:szCs w:val="16"/>
                <w:color w:val="auto"/>
              </w:rPr>
              <w:t>Net Sales</w:t>
            </w:r>
            <w:r>
              <w:rPr>
                <w:rFonts w:ascii="Arial" w:cs="Arial" w:eastAsia="Arial" w:hAnsi="Arial"/>
                <w:sz w:val="25"/>
                <w:szCs w:val="25"/>
                <w:color w:val="auto"/>
                <w:vertAlign w:val="superscript"/>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4"/>
              <w:spacing w:after="0"/>
              <w:rPr>
                <w:sz w:val="20"/>
                <w:szCs w:val="20"/>
                <w:color w:val="auto"/>
              </w:rPr>
            </w:pPr>
            <w:r>
              <w:rPr>
                <w:rFonts w:ascii="Arial" w:cs="Arial" w:eastAsia="Arial" w:hAnsi="Arial"/>
                <w:sz w:val="16"/>
                <w:szCs w:val="16"/>
                <w:color w:val="auto"/>
                <w:w w:val="86"/>
              </w:rPr>
              <w:t>3,085.1</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
              <w:spacing w:after="0"/>
              <w:rPr>
                <w:sz w:val="20"/>
                <w:szCs w:val="20"/>
                <w:color w:val="auto"/>
              </w:rPr>
            </w:pPr>
            <w:r>
              <w:rPr>
                <w:rFonts w:ascii="Arial" w:cs="Arial" w:eastAsia="Arial" w:hAnsi="Arial"/>
                <w:sz w:val="16"/>
                <w:szCs w:val="16"/>
                <w:color w:val="auto"/>
                <w:w w:val="86"/>
              </w:rPr>
              <w:t>3,024.6</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4"/>
              <w:spacing w:after="0"/>
              <w:rPr>
                <w:sz w:val="20"/>
                <w:szCs w:val="20"/>
                <w:color w:val="auto"/>
              </w:rPr>
            </w:pPr>
            <w:r>
              <w:rPr>
                <w:rFonts w:ascii="Arial" w:cs="Arial" w:eastAsia="Arial" w:hAnsi="Arial"/>
                <w:sz w:val="16"/>
                <w:szCs w:val="16"/>
                <w:color w:val="auto"/>
                <w:w w:val="86"/>
              </w:rPr>
              <w:t>3,113.6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4"/>
              <w:spacing w:after="0"/>
              <w:rPr>
                <w:sz w:val="20"/>
                <w:szCs w:val="20"/>
                <w:color w:val="auto"/>
              </w:rPr>
            </w:pPr>
            <w:r>
              <w:rPr>
                <w:rFonts w:ascii="Arial" w:cs="Arial" w:eastAsia="Arial" w:hAnsi="Arial"/>
                <w:sz w:val="16"/>
                <w:szCs w:val="16"/>
                <w:color w:val="auto"/>
                <w:w w:val="82"/>
              </w:rPr>
              <w:t>3,242.2</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4"/>
              <w:spacing w:after="0"/>
              <w:rPr>
                <w:sz w:val="20"/>
                <w:szCs w:val="20"/>
                <w:color w:val="auto"/>
              </w:rPr>
            </w:pPr>
            <w:r>
              <w:rPr>
                <w:rFonts w:ascii="Arial" w:cs="Arial" w:eastAsia="Arial" w:hAnsi="Arial"/>
                <w:sz w:val="16"/>
                <w:szCs w:val="16"/>
                <w:color w:val="auto"/>
                <w:w w:val="82"/>
              </w:rPr>
              <w:t>2,357.5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color w:val="auto"/>
              </w:rPr>
              <w:t>Income (Loss) From Operations</w:t>
            </w: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155.7</w:t>
            </w: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jc w:val="right"/>
              <w:ind w:right="5"/>
              <w:spacing w:after="0"/>
              <w:rPr>
                <w:sz w:val="20"/>
                <w:szCs w:val="20"/>
                <w:color w:val="auto"/>
              </w:rPr>
            </w:pPr>
            <w:r>
              <w:rPr>
                <w:rFonts w:ascii="Arial" w:cs="Arial" w:eastAsia="Arial" w:hAnsi="Arial"/>
                <w:sz w:val="16"/>
                <w:szCs w:val="16"/>
                <w:color w:val="auto"/>
              </w:rPr>
              <w:t>108.1</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24"/>
              <w:spacing w:after="0"/>
              <w:rPr>
                <w:sz w:val="20"/>
                <w:szCs w:val="20"/>
                <w:color w:val="auto"/>
              </w:rPr>
            </w:pPr>
            <w:r>
              <w:rPr>
                <w:rFonts w:ascii="Arial" w:cs="Arial" w:eastAsia="Arial" w:hAnsi="Arial"/>
                <w:sz w:val="16"/>
                <w:szCs w:val="16"/>
                <w:color w:val="auto"/>
              </w:rPr>
              <w:t>(0.7)</w:t>
            </w: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158.6</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6"/>
                <w:szCs w:val="16"/>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84.4</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(205.0)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24"/>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59.1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color w:val="auto"/>
              </w:rPr>
              <w:t>Diluted Earnings (Loss) Per Share</w:t>
            </w: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1.40</w:t>
            </w: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(3.48)</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24"/>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Dividends Per Share</w:t>
            </w:r>
          </w:p>
        </w:tc>
        <w:tc>
          <w:tcPr>
            <w:tcW w:w="240" w:type="dxa"/>
            <w:vAlign w:val="bottom"/>
          </w:tcPr>
          <w:p>
            <w:pPr>
              <w:spacing w:after="0"/>
              <w:rPr>
                <w:sz w:val="17"/>
                <w:szCs w:val="17"/>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0.38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0.38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0.38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0.38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Other Data</w:t>
            </w: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41.2</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23.1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17.4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58.3</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color w:val="auto"/>
              </w:rPr>
              <w:t>Research &amp; Development Expenses</w:t>
            </w: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38.0</w:t>
            </w: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60" w:type="dxa"/>
            <w:vAlign w:val="bottom"/>
            <w:shd w:val="clear" w:color="auto" w:fill="EEEEEE"/>
          </w:tcPr>
          <w:p>
            <w:pPr>
              <w:jc w:val="right"/>
              <w:ind w:right="5"/>
              <w:spacing w:after="0"/>
              <w:rPr>
                <w:sz w:val="20"/>
                <w:szCs w:val="20"/>
                <w:color w:val="auto"/>
              </w:rPr>
            </w:pPr>
            <w:r>
              <w:rPr>
                <w:rFonts w:ascii="Arial" w:cs="Arial" w:eastAsia="Arial" w:hAnsi="Arial"/>
                <w:sz w:val="16"/>
                <w:szCs w:val="16"/>
                <w:color w:val="auto"/>
              </w:rPr>
              <w:t>38.2</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37.3</w:t>
            </w: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36.5</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color w:val="auto"/>
              </w:rPr>
              <w:t>Working Capital</w:t>
            </w:r>
          </w:p>
        </w:tc>
        <w:tc>
          <w:tcPr>
            <w:tcW w:w="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230.2</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EEEEE"/>
          </w:tcPr>
          <w:p>
            <w:pPr>
              <w:jc w:val="right"/>
              <w:ind w:right="5"/>
              <w:spacing w:after="0"/>
              <w:rPr>
                <w:sz w:val="20"/>
                <w:szCs w:val="20"/>
                <w:color w:val="auto"/>
              </w:rPr>
            </w:pPr>
            <w:r>
              <w:rPr>
                <w:rFonts w:ascii="Arial" w:cs="Arial" w:eastAsia="Arial" w:hAnsi="Arial"/>
                <w:sz w:val="16"/>
                <w:szCs w:val="16"/>
                <w:color w:val="auto"/>
              </w:rPr>
              <w:t>121.5</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158.8</w:t>
            </w: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311.3</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Pr>
          <w:p>
            <w:pPr>
              <w:spacing w:after="0" w:line="227" w:lineRule="exact"/>
              <w:rPr>
                <w:sz w:val="20"/>
                <w:szCs w:val="20"/>
                <w:color w:val="auto"/>
              </w:rPr>
            </w:pPr>
            <w:r>
              <w:rPr>
                <w:rFonts w:ascii="Arial" w:cs="Arial" w:eastAsia="Arial" w:hAnsi="Arial"/>
                <w:sz w:val="16"/>
                <w:szCs w:val="16"/>
                <w:color w:val="auto"/>
              </w:rPr>
              <w:t>Total Assets</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w w:val="86"/>
              </w:rPr>
              <w:t>1,726.6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color w:val="auto"/>
                <w:w w:val="86"/>
              </w:rPr>
              <w:t>1,507.6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w w:val="86"/>
              </w:rPr>
              <w:t>1,791.7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w w:val="82"/>
              </w:rPr>
              <w:t>2,051.2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w w:val="82"/>
              </w:rPr>
              <w:t>1,682.0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6"/>
                <w:szCs w:val="16"/>
                <w:color w:val="auto"/>
              </w:rPr>
              <w:t>Total Debt</w:t>
            </w: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362.3</w:t>
            </w: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60" w:type="dxa"/>
            <w:vAlign w:val="bottom"/>
            <w:shd w:val="clear" w:color="auto" w:fill="EEEEEE"/>
          </w:tcPr>
          <w:p>
            <w:pPr>
              <w:jc w:val="right"/>
              <w:ind w:right="5"/>
              <w:spacing w:after="0"/>
              <w:rPr>
                <w:sz w:val="20"/>
                <w:szCs w:val="20"/>
                <w:color w:val="auto"/>
              </w:rPr>
            </w:pPr>
            <w:r>
              <w:rPr>
                <w:rFonts w:ascii="Arial" w:cs="Arial" w:eastAsia="Arial" w:hAnsi="Arial"/>
                <w:sz w:val="16"/>
                <w:szCs w:val="16"/>
                <w:color w:val="auto"/>
              </w:rPr>
              <w:t>379.9</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64"/>
              <w:spacing w:after="0"/>
              <w:rPr>
                <w:sz w:val="20"/>
                <w:szCs w:val="20"/>
                <w:color w:val="auto"/>
              </w:rPr>
            </w:pPr>
            <w:r>
              <w:rPr>
                <w:rFonts w:ascii="Arial" w:cs="Arial" w:eastAsia="Arial" w:hAnsi="Arial"/>
                <w:sz w:val="16"/>
                <w:szCs w:val="16"/>
                <w:color w:val="auto"/>
              </w:rPr>
              <w:t>517.8</w:t>
            </w:r>
          </w:p>
        </w:tc>
        <w:tc>
          <w:tcPr>
            <w:tcW w:w="2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690.5</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Stockholders’ Equity</w:t>
            </w:r>
            <w:r>
              <w:rPr>
                <w:rFonts w:ascii="Arial" w:cs="Arial" w:eastAsia="Arial" w:hAnsi="Arial"/>
                <w:sz w:val="25"/>
                <w:szCs w:val="25"/>
                <w:color w:val="auto"/>
                <w:vertAlign w:val="superscript"/>
              </w:rPr>
              <w:t>(3)</w:t>
            </w:r>
          </w:p>
        </w:tc>
        <w:tc>
          <w:tcPr>
            <w:tcW w:w="240" w:type="dxa"/>
            <w:vAlign w:val="bottom"/>
          </w:tcPr>
          <w:p>
            <w:pPr>
              <w:spacing w:after="0"/>
              <w:rPr>
                <w:sz w:val="24"/>
                <w:szCs w:val="24"/>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584.2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430.3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64"/>
              <w:spacing w:after="0"/>
              <w:rPr>
                <w:sz w:val="20"/>
                <w:szCs w:val="20"/>
                <w:color w:val="auto"/>
              </w:rPr>
            </w:pPr>
            <w:r>
              <w:rPr>
                <w:rFonts w:ascii="Arial" w:cs="Arial" w:eastAsia="Arial" w:hAnsi="Arial"/>
                <w:sz w:val="16"/>
                <w:szCs w:val="16"/>
                <w:color w:val="auto"/>
              </w:rPr>
              <w:t>652.3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739.3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84"/>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13252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257" w:lineRule="exact"/>
        <w:rPr>
          <w:sz w:val="20"/>
          <w:szCs w:val="20"/>
          <w:color w:val="auto"/>
        </w:rPr>
      </w:pPr>
    </w:p>
    <w:p>
      <w:pPr>
        <w:ind w:left="5"/>
        <w:spacing w:after="0"/>
        <w:rPr>
          <w:sz w:val="20"/>
          <w:szCs w:val="20"/>
          <w:color w:val="auto"/>
        </w:rPr>
      </w:pPr>
      <w:r>
        <w:rPr>
          <w:rFonts w:ascii="Arial" w:cs="Arial" w:eastAsia="Arial" w:hAnsi="Arial"/>
          <w:sz w:val="16"/>
          <w:szCs w:val="16"/>
          <w:color w:val="auto"/>
        </w:rPr>
        <w:t>Note:</w:t>
      </w:r>
    </w:p>
    <w:p>
      <w:pPr>
        <w:spacing w:after="0" w:line="198"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adjustments associated with the years 1999-2001 that were not material to the affected years. See Note 3 of the consolidated financial statements.</w:t>
      </w:r>
    </w:p>
    <w:p>
      <w:pPr>
        <w:spacing w:after="0" w:line="244" w:lineRule="exact"/>
        <w:rPr>
          <w:rFonts w:ascii="Arial" w:cs="Arial" w:eastAsia="Arial" w:hAnsi="Arial"/>
          <w:sz w:val="14"/>
          <w:szCs w:val="14"/>
          <w:color w:val="auto"/>
        </w:rPr>
      </w:pPr>
    </w:p>
    <w:p>
      <w:pPr>
        <w:ind w:left="465" w:right="20" w:hanging="465"/>
        <w:spacing w:after="0" w:line="256" w:lineRule="auto"/>
        <w:tabs>
          <w:tab w:leader="none" w:pos="465"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result of adopting Emerging Issues Tax Force (“EITF”) 01-9 in 2002, the Company restated prior years Net Sales. EITF 01-9 addressed various issues related to the income statement classification of certain promotional payments. The adoption of EITF 01-9 reduced 2001, 2000 and 1999 Net Sales by $6.0 million, $5.1 million and $4.2 million, respectively.</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17" w:name="page18"/>
    <w:bookmarkEnd w:id="17"/>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jc w:val="both"/>
        <w:ind w:left="465" w:right="260" w:hanging="465"/>
        <w:spacing w:after="0" w:line="310" w:lineRule="auto"/>
        <w:tabs>
          <w:tab w:leader="none" w:pos="465"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December 2003, the Company reclassified the deferred income tax portion of deferred compensation from long-term deferred income tax assets to deferred compensation within shareholders’ equity. Such reclassification reduced shareholders’ equity by $(1.7) million in 1999, $(3.8) million in 2000, $(2.3) million in 2001 and $(8.2) million in 2002. This reclassification was not related to the restatement discussed in Note 3 of the Company’s consolidated financial statements.</w:t>
      </w:r>
    </w:p>
    <w:p>
      <w:pPr>
        <w:spacing w:after="0" w:line="133" w:lineRule="exact"/>
        <w:rPr>
          <w:sz w:val="20"/>
          <w:szCs w:val="20"/>
          <w:color w:val="auto"/>
        </w:rPr>
      </w:pPr>
    </w:p>
    <w:p>
      <w:pPr>
        <w:ind w:left="5"/>
        <w:spacing w:after="0"/>
        <w:tabs>
          <w:tab w:leader="none" w:pos="644"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3"/>
          <w:szCs w:val="13"/>
          <w:b w:val="1"/>
          <w:bCs w:val="1"/>
          <w:i w:val="1"/>
          <w:iCs w:val="1"/>
          <w:color w:val="auto"/>
        </w:rPr>
        <w:t>Management’s Discussion and Analysis of Financial Condition and Results of Operations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Restatement of Previously-Issued Financial Statements</w:t>
      </w:r>
    </w:p>
    <w:p>
      <w:pPr>
        <w:spacing w:after="0" w:line="228" w:lineRule="exact"/>
        <w:rPr>
          <w:sz w:val="20"/>
          <w:szCs w:val="20"/>
          <w:color w:val="auto"/>
        </w:rPr>
      </w:pPr>
    </w:p>
    <w:p>
      <w:pPr>
        <w:ind w:left="5" w:right="440" w:firstLine="286"/>
        <w:spacing w:after="0" w:line="256" w:lineRule="auto"/>
        <w:rPr>
          <w:sz w:val="20"/>
          <w:szCs w:val="20"/>
          <w:color w:val="auto"/>
        </w:rPr>
      </w:pPr>
      <w:r>
        <w:rPr>
          <w:rFonts w:ascii="Arial" w:cs="Arial" w:eastAsia="Arial" w:hAnsi="Arial"/>
          <w:sz w:val="16"/>
          <w:szCs w:val="16"/>
          <w:i w:val="1"/>
          <w:iCs w:val="1"/>
          <w:color w:val="auto"/>
        </w:rPr>
        <w:t>The Management’s Discussion and Analysis of Financial Condition and Results of Operations (“MD&amp;A”) has been revised to reflect the restatement of the Company’s Consolidated Financial Statements for the year ended December 31, 2002 and certain events occurring subsequent to the original due date for filing this 2003 Annual Report on Form 10-K.</w:t>
      </w:r>
    </w:p>
    <w:p>
      <w:pPr>
        <w:spacing w:after="0" w:line="198" w:lineRule="exact"/>
        <w:rPr>
          <w:sz w:val="20"/>
          <w:szCs w:val="20"/>
          <w:color w:val="auto"/>
        </w:rPr>
      </w:pPr>
    </w:p>
    <w:p>
      <w:pPr>
        <w:ind w:left="5" w:right="120" w:firstLine="286"/>
        <w:spacing w:after="0" w:line="252" w:lineRule="auto"/>
        <w:rPr>
          <w:sz w:val="20"/>
          <w:szCs w:val="20"/>
          <w:color w:val="auto"/>
        </w:rPr>
      </w:pPr>
      <w:r>
        <w:rPr>
          <w:rFonts w:ascii="Arial" w:cs="Arial" w:eastAsia="Arial" w:hAnsi="Arial"/>
          <w:sz w:val="16"/>
          <w:szCs w:val="16"/>
          <w:color w:val="auto"/>
        </w:rPr>
        <w:t>On March 11, 2004, LII announced that its unaudited earnings for 2003 previously reported on Form 8-K would be revised, and previously issued financial statements restated, subject to the completion of an inquiry being conducted by the Audit Committee of the Board of Directors related to the Canadian service centers in its Service Experts business segment. The cumulative financial impact of this inquiry totaled $7.0 million comprising an increase of $7.6 million over previously reported unaudited net income for 2003, and a reduction of $14.6 million in previously reported net income for fiscal 2002 and prior. The revision and restatement are described below. Additionally, the Company’s unaudited 2003 and 2002 quarterly financial information has been restated to reflect adjustments to the Company’s previously reported financial information on Form 10-Q for the quarters ended March 31, 2003; June 30, 2003; and September 30, 2003.</w:t>
      </w:r>
    </w:p>
    <w:p>
      <w:pPr>
        <w:spacing w:after="0" w:line="200" w:lineRule="exact"/>
        <w:rPr>
          <w:sz w:val="20"/>
          <w:szCs w:val="20"/>
          <w:color w:val="auto"/>
        </w:rPr>
      </w:pPr>
    </w:p>
    <w:p>
      <w:pPr>
        <w:ind w:left="5" w:right="120" w:firstLine="286"/>
        <w:spacing w:after="0" w:line="297" w:lineRule="auto"/>
        <w:rPr>
          <w:sz w:val="20"/>
          <w:szCs w:val="20"/>
          <w:color w:val="auto"/>
        </w:rPr>
      </w:pPr>
      <w:r>
        <w:rPr>
          <w:rFonts w:ascii="Arial" w:cs="Arial" w:eastAsia="Arial" w:hAnsi="Arial"/>
          <w:sz w:val="14"/>
          <w:szCs w:val="14"/>
          <w:color w:val="auto"/>
        </w:rPr>
        <w:t>The Company identified adjustments that were required to be recorded, which reduced previously reported after-tax income by a total of $14.6 million, cumulative for the years 1999 through 2002. In addition, adjustments of $7.6 million increased previously released unaudited after-tax income in 2003. The impact on net income for the years ended December 31, 2002 and 2001 was $9.0 million and $1.0 million of additional expense, respectively. In addition, approximately $4.6 million of adjustments were identified for years prior to 2001. As the Consolidated Financial Statements for 2001 and prior years were not materially affected by these errors, no adjustments have been made to the Company’s fiscal 2001 or prior Consolidated Financial Statements. The impact for 2001 and prior years is included as an adjustment in the quarter ended March 31, 2002.</w:t>
      </w:r>
    </w:p>
    <w:p>
      <w:pPr>
        <w:spacing w:after="0" w:line="173"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Company has segregated the adjustments discussed above into the following categories:</w:t>
      </w:r>
    </w:p>
    <w:p>
      <w:pPr>
        <w:spacing w:after="0" w:line="192" w:lineRule="exact"/>
        <w:rPr>
          <w:sz w:val="20"/>
          <w:szCs w:val="20"/>
          <w:color w:val="auto"/>
        </w:rPr>
      </w:pPr>
    </w:p>
    <w:p>
      <w:pPr>
        <w:ind w:left="465" w:hanging="119"/>
        <w:spacing w:after="0" w:line="272" w:lineRule="auto"/>
        <w:tabs>
          <w:tab w:leader="none" w:pos="465"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Service Experts </w:t>
      </w:r>
      <w:r>
        <w:rPr>
          <w:rFonts w:ascii="Arial" w:cs="Arial" w:eastAsia="Arial" w:hAnsi="Arial"/>
          <w:sz w:val="16"/>
          <w:szCs w:val="16"/>
          <w:color w:val="auto"/>
        </w:rPr>
        <w:t>— these adjustments arose from the internal inquiry by its Audit Committee into accounting irregularities within its Canadian service centers within its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business segment. The adjustments increased (reduced) income as follows:</w:t>
      </w:r>
    </w:p>
    <w:p>
      <w:pPr>
        <w:spacing w:after="0" w:line="161" w:lineRule="exact"/>
        <w:rPr>
          <w:rFonts w:ascii="Arial" w:cs="Arial" w:eastAsia="Arial" w:hAnsi="Arial"/>
          <w:sz w:val="16"/>
          <w:szCs w:val="16"/>
          <w:color w:val="auto"/>
        </w:rPr>
      </w:pPr>
    </w:p>
    <w:p>
      <w:pPr>
        <w:ind w:left="685" w:right="660" w:hanging="112"/>
        <w:spacing w:after="0" w:line="336" w:lineRule="auto"/>
        <w:tabs>
          <w:tab w:leader="none" w:pos="685"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Corrected treatment of purchase accounting items related to non-compete agreements, adjustments to purchase price, and other balances at the time of purchase of $(1.1) million and $(0.2) million in 2003 and 2002, respectively. The majority of these items impacted selling, general and administrative expense.</w:t>
      </w:r>
    </w:p>
    <w:p>
      <w:pPr>
        <w:spacing w:after="0" w:line="145" w:lineRule="exact"/>
        <w:rPr>
          <w:rFonts w:ascii="Arial" w:cs="Arial" w:eastAsia="Arial" w:hAnsi="Arial"/>
          <w:sz w:val="14"/>
          <w:szCs w:val="14"/>
          <w:color w:val="auto"/>
        </w:rPr>
      </w:pPr>
    </w:p>
    <w:p>
      <w:pPr>
        <w:ind w:left="685" w:right="40" w:hanging="112"/>
        <w:spacing w:after="0" w:line="310" w:lineRule="auto"/>
        <w:tabs>
          <w:tab w:leader="none" w:pos="685"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Recording items in the proper period related to revenue recognition, bad debts, accrued expenses, cash and inter-company reconciliations and other related period adjustments of $6.1 million and $(9.3) million in 2003 and 2002, respectively. Of the $6.1 million, $2.2 million reduced net sales and $8.3 million primarily reduced selling, general and administrative expense. Of the $9.3 million, $1.2 million reduced net sales and $8.1 primarily increased selling, general and administrative expense.</w:t>
      </w:r>
    </w:p>
    <w:p>
      <w:pPr>
        <w:spacing w:after="0" w:line="163" w:lineRule="exact"/>
        <w:rPr>
          <w:rFonts w:ascii="Arial" w:cs="Arial" w:eastAsia="Arial" w:hAnsi="Arial"/>
          <w:sz w:val="14"/>
          <w:szCs w:val="14"/>
          <w:color w:val="auto"/>
        </w:rPr>
      </w:pPr>
    </w:p>
    <w:p>
      <w:pPr>
        <w:ind w:left="685" w:right="360" w:hanging="112"/>
        <w:spacing w:after="0" w:line="264" w:lineRule="auto"/>
        <w:tabs>
          <w:tab w:leader="none" w:pos="685"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Revaluations of the key judgment accounts related to warranty reserve and inventory allowances of $3.9 million and $(4.6) million in 2003 and 2002, respectively. The majority of these items impacted cost of goods sold.</w:t>
      </w:r>
    </w:p>
    <w:p>
      <w:pPr>
        <w:spacing w:after="0" w:line="168"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680" w:hanging="112"/>
        <w:spacing w:after="0"/>
        <w:tabs>
          <w:tab w:leader="none" w:pos="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Tax entries related to the above adjustments of $0.2 million and $(0.2) million in 2003 and 2002, respectively.</w:t>
      </w:r>
    </w:p>
    <w:p>
      <w:pPr>
        <w:spacing w:after="0" w:line="245" w:lineRule="exact"/>
        <w:rPr>
          <w:rFonts w:ascii="Arial" w:cs="Arial" w:eastAsia="Arial" w:hAnsi="Arial"/>
          <w:sz w:val="16"/>
          <w:szCs w:val="16"/>
          <w:color w:val="auto"/>
        </w:rPr>
      </w:pPr>
    </w:p>
    <w:p>
      <w:pPr>
        <w:ind w:left="680" w:right="120" w:hanging="112"/>
        <w:spacing w:after="0" w:line="256" w:lineRule="auto"/>
        <w:tabs>
          <w:tab w:leader="none" w:pos="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total impact on previously reported unaudited 2003 after-tax income for the Service Experts business segment is an increase of $9.1 million. The total cumulative impact on previously reported 2002 after-tax income for the Service Experts business segment is a reduction of $14.3 million, net of a favorable $1.3 million adjustment of Cumulative Effect of Accounting Change.</w:t>
      </w:r>
    </w:p>
    <w:p>
      <w:pPr>
        <w:spacing w:after="0" w:line="168" w:lineRule="exact"/>
        <w:rPr>
          <w:rFonts w:ascii="Arial" w:cs="Arial" w:eastAsia="Arial" w:hAnsi="Arial"/>
          <w:sz w:val="16"/>
          <w:szCs w:val="16"/>
          <w:color w:val="auto"/>
        </w:rPr>
      </w:pPr>
    </w:p>
    <w:p>
      <w:pPr>
        <w:ind w:left="460" w:hanging="119"/>
        <w:spacing w:after="0" w:line="315"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Non-Service Experts </w:t>
      </w:r>
      <w:r>
        <w:rPr>
          <w:rFonts w:ascii="Arial" w:cs="Arial" w:eastAsia="Arial" w:hAnsi="Arial"/>
          <w:sz w:val="14"/>
          <w:szCs w:val="14"/>
          <w:color w:val="auto"/>
        </w:rPr>
        <w:t>— these adjustments were identified during the review of the financial statements performed by the Company, and include revisions primarily to selling,</w:t>
      </w:r>
      <w:r>
        <w:rPr>
          <w:rFonts w:ascii="Arial" w:cs="Arial" w:eastAsia="Arial" w:hAnsi="Arial"/>
          <w:sz w:val="14"/>
          <w:szCs w:val="14"/>
          <w:b w:val="1"/>
          <w:bCs w:val="1"/>
          <w:color w:val="auto"/>
        </w:rPr>
        <w:t xml:space="preserve"> </w:t>
      </w:r>
      <w:r>
        <w:rPr>
          <w:rFonts w:ascii="Arial" w:cs="Arial" w:eastAsia="Arial" w:hAnsi="Arial"/>
          <w:sz w:val="14"/>
          <w:szCs w:val="14"/>
          <w:color w:val="auto"/>
        </w:rPr>
        <w:t>general and administrative expense that relate to significant estimates, uncertainties and judgments, net of related tax effects. The total cumulative impact on previously reported after-tax income for the Non-Service Experts business segment is a reduction of $1.5 million and $0.3 million in 2003 and 2002, respectively.</w:t>
      </w:r>
    </w:p>
    <w:p>
      <w:pPr>
        <w:spacing w:after="0" w:line="159" w:lineRule="exact"/>
        <w:rPr>
          <w:sz w:val="20"/>
          <w:szCs w:val="20"/>
          <w:color w:val="auto"/>
        </w:rPr>
      </w:pPr>
    </w:p>
    <w:p>
      <w:pPr>
        <w:ind w:right="140" w:firstLine="286"/>
        <w:spacing w:after="0" w:line="336" w:lineRule="auto"/>
        <w:rPr>
          <w:sz w:val="20"/>
          <w:szCs w:val="20"/>
          <w:color w:val="auto"/>
        </w:rPr>
      </w:pPr>
      <w:r>
        <w:rPr>
          <w:rFonts w:ascii="Arial" w:cs="Arial" w:eastAsia="Arial" w:hAnsi="Arial"/>
          <w:sz w:val="14"/>
          <w:szCs w:val="14"/>
          <w:color w:val="auto"/>
        </w:rPr>
        <w:t>The effect of restatement on LII’s previously issued financial statements is presented in more detail in Note 3 titled “Restatement of 2002 Financial Statements and Additional Information for 2003” in the Notes to Consolidated Financial Statements. A discussion of the Company’s detailed remedial actions is included in Item 9A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8" w:lineRule="exact"/>
        <w:rPr>
          <w:sz w:val="20"/>
          <w:szCs w:val="20"/>
          <w:color w:val="auto"/>
        </w:rPr>
      </w:pPr>
    </w:p>
    <w:p>
      <w:pPr>
        <w:ind w:right="20" w:firstLine="286"/>
        <w:spacing w:after="0" w:line="293" w:lineRule="auto"/>
        <w:rPr>
          <w:sz w:val="20"/>
          <w:szCs w:val="20"/>
          <w:color w:val="auto"/>
        </w:rPr>
      </w:pPr>
      <w:r>
        <w:rPr>
          <w:rFonts w:ascii="Arial" w:cs="Arial" w:eastAsia="Arial" w:hAnsi="Arial"/>
          <w:sz w:val="14"/>
          <w:szCs w:val="14"/>
          <w:color w:val="auto"/>
        </w:rPr>
        <w:t>The Company participates in four reportable business segments of the heating, ventilation, air conditioning and refrigeration (“HVACR”) industry. The first reportable segment is Residential Heating &amp; Cooling, in which LII manufactures and markets a full line of heating, air conditioning and Hearth Products for the residential replacement and new construction markets in the United States and Canada. The second reportable segment is Commercial Heating &amp; Cooling, in which LII manufactures and sells primarily rooftop products and related equipment for light commercial applications. Combined, the Residential Heating &amp; Cooling and Commercial Heating &amp; Cooling segments form LII’s heating and cooling business. The third reportable segment is Service Experts, which, includes sales and installation of, and maintenance and repair services for, HVAC equipment. On December 31, 2003, there were approximately 180 LII-owned service centers in the United States and Canada. The fourth reportable segment is Refrigeration, in which LII manufactures and sells unit coolers, condensing units and other commercial refrigeration products.</w:t>
      </w:r>
    </w:p>
    <w:p>
      <w:pPr>
        <w:spacing w:after="0" w:line="175" w:lineRule="exact"/>
        <w:rPr>
          <w:sz w:val="20"/>
          <w:szCs w:val="20"/>
          <w:color w:val="auto"/>
        </w:rPr>
      </w:pPr>
    </w:p>
    <w:p>
      <w:pPr>
        <w:ind w:right="20" w:firstLine="286"/>
        <w:spacing w:after="0" w:line="252" w:lineRule="auto"/>
        <w:rPr>
          <w:sz w:val="20"/>
          <w:szCs w:val="20"/>
          <w:color w:val="auto"/>
        </w:rPr>
      </w:pPr>
      <w:r>
        <w:rPr>
          <w:rFonts w:ascii="Arial" w:cs="Arial" w:eastAsia="Arial" w:hAnsi="Arial"/>
          <w:sz w:val="16"/>
          <w:szCs w:val="16"/>
          <w:color w:val="auto"/>
        </w:rPr>
        <w:t>On July 8, 2003, LII announced organizational changes and assignments in an effort to streamline the reporting of the Company’s four business segments. First, Scott J. Boxer was named President and Chief Operating Officer (“COO”) of Service Experts Inc. (“SEI”), the Company’s retail sales and service business. Mr. Boxer was formerly President of Lennox Industries Inc. and had also been serving as interim President of SEI since March 24, 2003. Second, Robert J. McDonough was named President and COO, Worldwide Heating &amp; Cooling, encompassing the Company’s Lennox Industries Inc., North American Distributed Products (“NADP”) and European HVAC businesses. Mr. McDonough was formerly President, Worldwide Refrigeration. Third, Michael G. Schwartz was named President and COO, Worldwide Refrigeration, replacing Mr. McDonough. Mr. Schwartz was formerly President, NADP.</w:t>
      </w:r>
    </w:p>
    <w:p>
      <w:pPr>
        <w:spacing w:after="0" w:line="200" w:lineRule="exact"/>
        <w:rPr>
          <w:sz w:val="20"/>
          <w:szCs w:val="20"/>
          <w:color w:val="auto"/>
        </w:rPr>
      </w:pPr>
    </w:p>
    <w:p>
      <w:pPr>
        <w:ind w:right="200" w:firstLine="286"/>
        <w:spacing w:after="0" w:line="297" w:lineRule="auto"/>
        <w:rPr>
          <w:sz w:val="20"/>
          <w:szCs w:val="20"/>
          <w:color w:val="auto"/>
        </w:rPr>
      </w:pPr>
      <w:r>
        <w:rPr>
          <w:rFonts w:ascii="Arial" w:cs="Arial" w:eastAsia="Arial" w:hAnsi="Arial"/>
          <w:sz w:val="14"/>
          <w:szCs w:val="14"/>
          <w:color w:val="auto"/>
        </w:rPr>
        <w:t>During 2003, LII’s Residential Heating &amp; Cooling and Commercial Heating &amp; Cooling business segments significantly improved upon segment performance compared to prior year primarily due to higher volumes, a favorable mix of higher margin premium products and increased factory productivity. Segment performance in LII’s Refrigeration business segment was slightly below prior year due in large part to lower demand worldwide. However, in LII’s Service Experts business segment, performance fell short of management’s expectations. Much of the shortfall was due to unfavorable inventory valuations, increased costs on commercial construction contracts, bad debt expenses and severance in Service Experts Canadian operations, as well as overall labor inefficiencies and segment profit margin erosion driven by price competition.</w:t>
      </w:r>
    </w:p>
    <w:p>
      <w:pPr>
        <w:spacing w:after="0" w:line="173" w:lineRule="exact"/>
        <w:rPr>
          <w:sz w:val="20"/>
          <w:szCs w:val="20"/>
          <w:color w:val="auto"/>
        </w:rPr>
      </w:pPr>
    </w:p>
    <w:p>
      <w:pPr>
        <w:ind w:right="60" w:firstLine="286"/>
        <w:spacing w:after="0" w:line="256" w:lineRule="auto"/>
        <w:rPr>
          <w:sz w:val="20"/>
          <w:szCs w:val="20"/>
          <w:color w:val="auto"/>
        </w:rPr>
      </w:pPr>
      <w:r>
        <w:rPr>
          <w:rFonts w:ascii="Arial" w:cs="Arial" w:eastAsia="Arial" w:hAnsi="Arial"/>
          <w:sz w:val="16"/>
          <w:szCs w:val="16"/>
          <w:color w:val="auto"/>
        </w:rPr>
        <w:t>Improving the performance of the Service Experts business segment is a top priority of LII’s management and a key challenge in 2004. In addition to the organization changes described above, the Service Experts business segment continues the rollout of a program focused on the sharing of best practices across all residential service and replacement service centers. This rollout began mid-year in 2003 and was completed at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most of the service centers in the third quarter of 2004. The deployment of an information technologies (“IT”) system in Service Experts Canadian service centers was completed in the third quarter of 2004. This IT system is currently used by most of the Service Experts U.S. service centers and facilitates the consolidation of service center accounting functions as well as the tracking of key performance indicators used in the best practices program described above. In April 2004, the Company announced the specifics of a turnaround plan designed to realign Service Experts’ dealer service centers to focus on service and replacement opportunities in the residential and light commercial markets. For more detail on this turnaround plan, see “Subsequent Events” located at the end of MD&amp;A. Item 9A “Controls and Procedures” also contains a listing of actions that are being implemented in the Service Experts business segment.</w:t>
      </w:r>
    </w:p>
    <w:p>
      <w:pPr>
        <w:spacing w:after="0" w:line="200" w:lineRule="exact"/>
        <w:rPr>
          <w:sz w:val="20"/>
          <w:szCs w:val="20"/>
          <w:color w:val="auto"/>
        </w:rPr>
      </w:pPr>
    </w:p>
    <w:p>
      <w:pPr>
        <w:ind w:firstLine="286"/>
        <w:spacing w:after="0" w:line="254" w:lineRule="auto"/>
        <w:rPr>
          <w:sz w:val="20"/>
          <w:szCs w:val="20"/>
          <w:color w:val="auto"/>
        </w:rPr>
      </w:pPr>
      <w:r>
        <w:rPr>
          <w:rFonts w:ascii="Arial" w:cs="Arial" w:eastAsia="Arial" w:hAnsi="Arial"/>
          <w:sz w:val="16"/>
          <w:szCs w:val="16"/>
          <w:color w:val="auto"/>
        </w:rPr>
        <w:t>During August 2002, LII formed joint ventures with Outokumpu Oyj of Finland (“Outokumpu”). Outokumpu purchased a 55% interest in the Company’s former Heat Transfer business segment in the U.S. and Europe for $55 million in cash and notes, with LII retaining 45% ownership. The net after-tax gain on the sale and the related expenses and charges was $6.4 million. LII accounts for its remaining 45% ownership interest using the equity method of accounting. The Company currently reports the historical results of operations of its former Heat Transfer business segment in the “Corporate and other” business segment.</w:t>
      </w:r>
    </w:p>
    <w:p>
      <w:pPr>
        <w:spacing w:after="0" w:line="199" w:lineRule="exact"/>
        <w:rPr>
          <w:sz w:val="20"/>
          <w:szCs w:val="20"/>
          <w:color w:val="auto"/>
        </w:rPr>
      </w:pPr>
    </w:p>
    <w:p>
      <w:pPr>
        <w:ind w:right="20" w:firstLine="286"/>
        <w:spacing w:after="0" w:line="252" w:lineRule="auto"/>
        <w:rPr>
          <w:sz w:val="20"/>
          <w:szCs w:val="20"/>
          <w:color w:val="auto"/>
        </w:rPr>
      </w:pPr>
      <w:r>
        <w:rPr>
          <w:rFonts w:ascii="Arial" w:cs="Arial" w:eastAsia="Arial" w:hAnsi="Arial"/>
          <w:sz w:val="16"/>
          <w:szCs w:val="16"/>
          <w:color w:val="auto"/>
        </w:rPr>
        <w:t>LII’s customers include distributors, installing dealers, property owners, national accounts and original equipment manufacturers. LII recognizes sales revenue when products are shipped or when services are rendered. The demand for LII’s products and services is influenced by national and regional economic and demographic factors, such as interest rates, the availability of financing, regional population and employment trends, new construction, general economic conditions and consumer confidence. In addition to economic cycles, demand for LII’s products and services is seasonal and dependent on the weather. Hotter than normal summers generate strong demand for replacement air conditioning, refrigeration products and services; and colder than normal winters have the same effect on heating products and services. Conversely, cooler than normal summers and warmer than normal winters depress HVACR sales and services.</w:t>
      </w:r>
    </w:p>
    <w:p>
      <w:pPr>
        <w:spacing w:after="0" w:line="200" w:lineRule="exact"/>
        <w:rPr>
          <w:sz w:val="20"/>
          <w:szCs w:val="20"/>
          <w:color w:val="auto"/>
        </w:rPr>
      </w:pPr>
    </w:p>
    <w:p>
      <w:pPr>
        <w:ind w:right="40" w:firstLine="286"/>
        <w:spacing w:after="0" w:line="301" w:lineRule="auto"/>
        <w:rPr>
          <w:sz w:val="20"/>
          <w:szCs w:val="20"/>
          <w:color w:val="auto"/>
        </w:rPr>
      </w:pPr>
      <w:r>
        <w:rPr>
          <w:rFonts w:ascii="Arial" w:cs="Arial" w:eastAsia="Arial" w:hAnsi="Arial"/>
          <w:sz w:val="14"/>
          <w:szCs w:val="14"/>
          <w:color w:val="auto"/>
        </w:rPr>
        <w:t>The principal components of cost of goods sold in LII’s manufacturing operations are component costs, raw materials, factory overhead, labor and estimated costs of warranty expense. In LII’s Service Experts segment, the principal components of cost of goods sold are equipment, parts and supplies and labor. The principal raw materials used in LII’s manufacturing processes are steel, copper and aluminum. In instances where LII is unable to pass on to its customers increases in the costs of copper and aluminum, LII may enter into forward contracts for the purchase of those materials. Warranty expense is estimated based on historical trends and other factors.</w:t>
      </w:r>
    </w:p>
    <w:p>
      <w:pPr>
        <w:spacing w:after="0" w:line="170" w:lineRule="exact"/>
        <w:rPr>
          <w:sz w:val="20"/>
          <w:szCs w:val="20"/>
          <w:color w:val="auto"/>
        </w:rPr>
      </w:pPr>
    </w:p>
    <w:p>
      <w:pPr>
        <w:ind w:right="60" w:firstLine="286"/>
        <w:spacing w:after="0" w:line="256" w:lineRule="auto"/>
        <w:rPr>
          <w:sz w:val="20"/>
          <w:szCs w:val="20"/>
          <w:color w:val="auto"/>
        </w:rPr>
      </w:pPr>
      <w:r>
        <w:rPr>
          <w:rFonts w:ascii="Arial" w:cs="Arial" w:eastAsia="Arial" w:hAnsi="Arial"/>
          <w:sz w:val="16"/>
          <w:szCs w:val="16"/>
          <w:color w:val="auto"/>
        </w:rPr>
        <w:t>On January 1, 2002, LII adopted Statement of Financial Accounting Standards No. 142 “Goodwill and Other Intangible Assets” (“SFAS No. 142”), and recorded a $283.7 million impairment of goodwill ($247.9 million, net of taxes). The impairment charge related primarily to the 1998 to 2000 acquisitions of LII’s Service Experts and Hearth Products operations, where lower than expected operating results occurred.</w:t>
      </w:r>
    </w:p>
    <w:p>
      <w:pPr>
        <w:spacing w:after="0" w:line="198" w:lineRule="exact"/>
        <w:rPr>
          <w:sz w:val="20"/>
          <w:szCs w:val="20"/>
          <w:color w:val="auto"/>
        </w:rPr>
      </w:pPr>
    </w:p>
    <w:p>
      <w:pPr>
        <w:ind w:right="20" w:firstLine="286"/>
        <w:spacing w:after="0" w:line="336" w:lineRule="auto"/>
        <w:rPr>
          <w:sz w:val="20"/>
          <w:szCs w:val="20"/>
          <w:color w:val="auto"/>
        </w:rPr>
      </w:pPr>
      <w:r>
        <w:rPr>
          <w:rFonts w:ascii="Arial" w:cs="Arial" w:eastAsia="Arial" w:hAnsi="Arial"/>
          <w:sz w:val="14"/>
          <w:szCs w:val="14"/>
          <w:color w:val="auto"/>
        </w:rPr>
        <w:t>LII’s fiscal year ends on December 31 of each year and its interim fiscal quarters are each comprised of 13 weeks. For convenience, throughout this Management’s Discussion and Analysis of Financial Condition and Results of Operations, the 13-week periods comprising each fiscal quarter are denoted by the last day of the calendar quarter.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8" w:lineRule="exact"/>
        <w:rPr>
          <w:sz w:val="20"/>
          <w:szCs w:val="20"/>
          <w:color w:val="auto"/>
        </w:rPr>
      </w:pPr>
    </w:p>
    <w:p>
      <w:pPr>
        <w:ind w:right="100" w:firstLine="286"/>
        <w:spacing w:after="0" w:line="264" w:lineRule="auto"/>
        <w:rPr>
          <w:sz w:val="20"/>
          <w:szCs w:val="20"/>
          <w:color w:val="auto"/>
        </w:rPr>
      </w:pPr>
      <w:r>
        <w:rPr>
          <w:rFonts w:ascii="Arial" w:cs="Arial" w:eastAsia="Arial" w:hAnsi="Arial"/>
          <w:sz w:val="16"/>
          <w:szCs w:val="16"/>
          <w:color w:val="auto"/>
        </w:rPr>
        <w:t>The following table sets forth, as a percentage of net sales, LII’s statement of income data for the years ended December 31, 2003, 2002 and 2001. LII’s statement of income data has been reconciled for the year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2001 to reflect the discontinuation of goodwill and trademark amortization under SFAS No. 142: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6"/>
          </w:tcPr>
          <w:p>
            <w:pPr>
              <w:ind w:left="200"/>
              <w:spacing w:after="0"/>
              <w:rPr>
                <w:sz w:val="20"/>
                <w:szCs w:val="20"/>
                <w:color w:val="auto"/>
              </w:rPr>
            </w:pPr>
            <w:r>
              <w:rPr>
                <w:rFonts w:ascii="Arial" w:cs="Arial" w:eastAsia="Arial" w:hAnsi="Arial"/>
                <w:sz w:val="12"/>
                <w:szCs w:val="12"/>
                <w:b w:val="1"/>
                <w:bCs w:val="1"/>
                <w:color w:val="auto"/>
                <w:w w:val="97"/>
              </w:rPr>
              <w:t>Year Ended December 31,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SFAS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jc w:val="right"/>
              <w:ind w:right="320"/>
              <w:spacing w:after="0" w:line="132" w:lineRule="exact"/>
              <w:rPr>
                <w:sz w:val="20"/>
                <w:szCs w:val="20"/>
                <w:color w:val="auto"/>
              </w:rPr>
            </w:pPr>
            <w:r>
              <w:rPr>
                <w:rFonts w:ascii="Arial" w:cs="Arial" w:eastAsia="Arial" w:hAnsi="Arial"/>
                <w:sz w:val="12"/>
                <w:szCs w:val="12"/>
                <w:b w:val="1"/>
                <w:bCs w:val="1"/>
                <w:color w:val="auto"/>
              </w:rPr>
              <w:t>Restated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No. 142</w:t>
            </w:r>
          </w:p>
        </w:tc>
        <w:tc>
          <w:tcPr>
            <w:tcW w:w="1080" w:type="dxa"/>
            <w:vAlign w:val="bottom"/>
            <w:gridSpan w:val="4"/>
          </w:tcPr>
          <w:p>
            <w:pPr>
              <w:jc w:val="right"/>
              <w:ind w:right="46"/>
              <w:spacing w:after="0" w:line="132" w:lineRule="exact"/>
              <w:rPr>
                <w:sz w:val="20"/>
                <w:szCs w:val="20"/>
                <w:color w:val="auto"/>
              </w:rPr>
            </w:pPr>
            <w:r>
              <w:rPr>
                <w:rFonts w:ascii="Arial" w:cs="Arial" w:eastAsia="Arial" w:hAnsi="Arial"/>
                <w:sz w:val="12"/>
                <w:szCs w:val="12"/>
                <w:b w:val="1"/>
                <w:bCs w:val="1"/>
                <w:color w:val="auto"/>
              </w:rPr>
              <w:t>2001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10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3"/>
                <w:szCs w:val="13"/>
                <w:color w:val="auto"/>
              </w:rPr>
            </w:pPr>
          </w:p>
        </w:tc>
        <w:tc>
          <w:tcPr>
            <w:tcW w:w="9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1"/>
              </w:rPr>
              <w:t>2001 Adj.</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6"/>
              </w:rPr>
              <w:t>Adj.</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880" w:type="dxa"/>
            <w:vAlign w:val="bottom"/>
            <w:gridSpan w:val="3"/>
            <w:shd w:val="clear" w:color="auto" w:fill="EEEEEE"/>
          </w:tcPr>
          <w:p>
            <w:pPr>
              <w:jc w:val="right"/>
              <w:ind w:right="80"/>
              <w:spacing w:after="0"/>
              <w:rPr>
                <w:sz w:val="20"/>
                <w:szCs w:val="20"/>
                <w:color w:val="auto"/>
              </w:rPr>
            </w:pPr>
            <w:r>
              <w:rPr>
                <w:rFonts w:ascii="Arial" w:cs="Arial" w:eastAsia="Arial" w:hAnsi="Arial"/>
                <w:sz w:val="16"/>
                <w:szCs w:val="16"/>
                <w:color w:val="auto"/>
              </w:rPr>
              <w:t>100.0%</w:t>
            </w:r>
          </w:p>
        </w:tc>
        <w:tc>
          <w:tcPr>
            <w:tcW w:w="1380" w:type="dxa"/>
            <w:vAlign w:val="bottom"/>
            <w:gridSpan w:val="4"/>
            <w:shd w:val="clear" w:color="auto" w:fill="EEEEEE"/>
          </w:tcPr>
          <w:p>
            <w:pPr>
              <w:jc w:val="right"/>
              <w:ind w:right="200"/>
              <w:spacing w:after="0"/>
              <w:rPr>
                <w:sz w:val="20"/>
                <w:szCs w:val="20"/>
                <w:color w:val="auto"/>
              </w:rPr>
            </w:pPr>
            <w:r>
              <w:rPr>
                <w:rFonts w:ascii="Arial" w:cs="Arial" w:eastAsia="Arial" w:hAnsi="Arial"/>
                <w:sz w:val="16"/>
                <w:szCs w:val="16"/>
                <w:color w:val="auto"/>
              </w:rPr>
              <w:t>100.0%</w:t>
            </w:r>
          </w:p>
        </w:tc>
        <w:tc>
          <w:tcPr>
            <w:tcW w:w="1180" w:type="dxa"/>
            <w:vAlign w:val="bottom"/>
            <w:gridSpan w:val="4"/>
            <w:shd w:val="clear" w:color="auto" w:fill="EEEEEE"/>
          </w:tcPr>
          <w:p>
            <w:pPr>
              <w:jc w:val="right"/>
              <w:ind w:right="100"/>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1400" w:type="dxa"/>
            <w:vAlign w:val="bottom"/>
            <w:gridSpan w:val="5"/>
            <w:shd w:val="clear" w:color="auto" w:fill="EEEEEE"/>
          </w:tcPr>
          <w:p>
            <w:pPr>
              <w:jc w:val="right"/>
              <w:ind w:right="2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Cost of goods sold</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68.7</w:t>
            </w:r>
          </w:p>
        </w:tc>
        <w:tc>
          <w:tcPr>
            <w:tcW w:w="3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70.6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70.6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Gross Profit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33.0</w:t>
            </w:r>
          </w:p>
        </w:tc>
        <w:tc>
          <w:tcPr>
            <w:tcW w:w="220" w:type="dxa"/>
            <w:vAlign w:val="bottom"/>
            <w:shd w:val="clear" w:color="auto" w:fill="EEEEEE"/>
          </w:tcPr>
          <w:p>
            <w:pPr>
              <w:spacing w:after="0"/>
              <w:rPr>
                <w:sz w:val="16"/>
                <w:szCs w:val="16"/>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31.3</w:t>
            </w:r>
          </w:p>
        </w:tc>
        <w:tc>
          <w:tcPr>
            <w:tcW w:w="32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29.4</w:t>
            </w: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29.4</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Selling, general and administrative expense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27.7</w:t>
            </w:r>
          </w:p>
        </w:tc>
        <w:tc>
          <w:tcPr>
            <w:tcW w:w="3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6"/>
                <w:szCs w:val="16"/>
                <w:color w:val="auto"/>
              </w:rPr>
              <w:t>(0.6)</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26.7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Restructurings</w:t>
            </w:r>
          </w:p>
        </w:tc>
        <w:tc>
          <w:tcPr>
            <w:tcW w:w="30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0.3</w:t>
            </w:r>
          </w:p>
        </w:tc>
        <w:tc>
          <w:tcPr>
            <w:tcW w:w="32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2.1</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(Gains) Losses and other expenses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7"/>
                <w:szCs w:val="17"/>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4"/>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Income from operations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EEEEEE"/>
          </w:tcPr>
          <w:p>
            <w:pPr>
              <w:spacing w:after="0"/>
              <w:rPr>
                <w:sz w:val="16"/>
                <w:szCs w:val="16"/>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3.6</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60" w:type="dxa"/>
            <w:vAlign w:val="bottom"/>
            <w:gridSpan w:val="4"/>
            <w:shd w:val="clear" w:color="auto" w:fill="EEEEEE"/>
          </w:tcPr>
          <w:p>
            <w:pPr>
              <w:jc w:val="right"/>
              <w:ind w:right="70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0.6</w:t>
            </w:r>
          </w:p>
        </w:tc>
        <w:tc>
          <w:tcPr>
            <w:tcW w:w="420" w:type="dxa"/>
            <w:vAlign w:val="bottom"/>
            <w:shd w:val="clear" w:color="auto" w:fill="EEEEEE"/>
          </w:tcPr>
          <w:p>
            <w:pPr>
              <w:spacing w:after="0"/>
              <w:rPr>
                <w:sz w:val="16"/>
                <w:szCs w:val="16"/>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0.6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Interest expense, net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Other expense (income)</w:t>
            </w:r>
          </w:p>
        </w:tc>
        <w:tc>
          <w:tcPr>
            <w:tcW w:w="88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60" w:type="dxa"/>
            <w:vAlign w:val="bottom"/>
            <w:gridSpan w:val="4"/>
            <w:shd w:val="clear" w:color="auto" w:fill="EEEEEE"/>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vMerge w:val="restart"/>
          </w:tcPr>
          <w:p>
            <w:pPr>
              <w:ind w:left="260"/>
              <w:spacing w:after="0"/>
              <w:rPr>
                <w:sz w:val="20"/>
                <w:szCs w:val="20"/>
                <w:color w:val="auto"/>
              </w:rPr>
            </w:pPr>
            <w:r>
              <w:rPr>
                <w:rFonts w:ascii="Arial" w:cs="Arial" w:eastAsia="Arial" w:hAnsi="Arial"/>
                <w:sz w:val="16"/>
                <w:szCs w:val="16"/>
                <w:color w:val="auto"/>
              </w:rPr>
              <w:t>Income (loss) before income taxes and cumulative effect of</w:t>
            </w: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1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ind w:left="380"/>
              <w:spacing w:after="0"/>
              <w:rPr>
                <w:sz w:val="20"/>
                <w:szCs w:val="20"/>
                <w:color w:val="auto"/>
              </w:rPr>
            </w:pPr>
            <w:r>
              <w:rPr>
                <w:rFonts w:ascii="Arial" w:cs="Arial" w:eastAsia="Arial" w:hAnsi="Arial"/>
                <w:sz w:val="16"/>
                <w:szCs w:val="16"/>
                <w:color w:val="auto"/>
              </w:rPr>
              <w:t>accounting change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7"/>
                <w:szCs w:val="17"/>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420" w:type="dxa"/>
            <w:vAlign w:val="bottom"/>
          </w:tcPr>
          <w:p>
            <w:pPr>
              <w:spacing w:after="0"/>
              <w:rPr>
                <w:sz w:val="17"/>
                <w:szCs w:val="17"/>
                <w:color w:val="auto"/>
              </w:rPr>
            </w:pPr>
          </w:p>
        </w:tc>
        <w:tc>
          <w:tcPr>
            <w:tcW w:w="1400" w:type="dxa"/>
            <w:vAlign w:val="bottom"/>
            <w:gridSpan w:val="5"/>
          </w:tcPr>
          <w:p>
            <w:pPr>
              <w:jc w:val="right"/>
              <w:ind w:right="28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Provision for income taxes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EEEEEE"/>
          </w:tcPr>
          <w:p>
            <w:pPr>
              <w:spacing w:after="0"/>
              <w:rPr>
                <w:sz w:val="16"/>
                <w:szCs w:val="16"/>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60" w:type="dxa"/>
            <w:vAlign w:val="bottom"/>
            <w:gridSpan w:val="4"/>
            <w:shd w:val="clear" w:color="auto" w:fill="EEEEEE"/>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Income (loss) before cumulative effect of accounting change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4"/>
                <w:szCs w:val="24"/>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420" w:type="dxa"/>
            <w:vAlign w:val="bottom"/>
          </w:tcPr>
          <w:p>
            <w:pPr>
              <w:spacing w:after="0"/>
              <w:rPr>
                <w:sz w:val="24"/>
                <w:szCs w:val="24"/>
                <w:color w:val="auto"/>
              </w:rPr>
            </w:pPr>
          </w:p>
        </w:tc>
        <w:tc>
          <w:tcPr>
            <w:tcW w:w="1400" w:type="dxa"/>
            <w:vAlign w:val="bottom"/>
            <w:gridSpan w:val="5"/>
          </w:tcPr>
          <w:p>
            <w:pPr>
              <w:jc w:val="right"/>
              <w:ind w:right="28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Cumulative effect of accounting change</w:t>
            </w:r>
          </w:p>
        </w:tc>
        <w:tc>
          <w:tcPr>
            <w:tcW w:w="30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8.2</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60" w:type="dxa"/>
            <w:vAlign w:val="bottom"/>
            <w:gridSpan w:val="4"/>
            <w:shd w:val="clear" w:color="auto" w:fill="EEEEEE"/>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2.7%</w:t>
            </w:r>
          </w:p>
        </w:tc>
        <w:tc>
          <w:tcPr>
            <w:tcW w:w="1380" w:type="dxa"/>
            <w:vAlign w:val="bottom"/>
            <w:gridSpan w:val="4"/>
          </w:tcPr>
          <w:p>
            <w:pPr>
              <w:jc w:val="right"/>
              <w:ind w:right="140"/>
              <w:spacing w:after="0"/>
              <w:rPr>
                <w:sz w:val="20"/>
                <w:szCs w:val="20"/>
                <w:color w:val="auto"/>
              </w:rPr>
            </w:pPr>
            <w:r>
              <w:rPr>
                <w:rFonts w:ascii="Arial" w:cs="Arial" w:eastAsia="Arial" w:hAnsi="Arial"/>
                <w:sz w:val="16"/>
                <w:szCs w:val="16"/>
                <w:color w:val="auto"/>
              </w:rPr>
              <w:t>(6.8)%</w:t>
            </w:r>
          </w:p>
        </w:tc>
        <w:tc>
          <w:tcPr>
            <w:tcW w:w="1180" w:type="dxa"/>
            <w:vAlign w:val="bottom"/>
            <w:gridSpan w:val="4"/>
          </w:tcPr>
          <w:p>
            <w:pPr>
              <w:jc w:val="right"/>
              <w:ind w:right="4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6"/>
                <w:szCs w:val="16"/>
                <w:color w:val="auto"/>
              </w:rPr>
              <w:t>0.6%</w:t>
            </w:r>
          </w:p>
        </w:tc>
        <w:tc>
          <w:tcPr>
            <w:tcW w:w="1400" w:type="dxa"/>
            <w:vAlign w:val="bottom"/>
            <w:gridSpan w:val="5"/>
          </w:tcPr>
          <w:p>
            <w:pPr>
              <w:jc w:val="right"/>
              <w:ind w:right="1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-34925</wp:posOffset>
            </wp:positionV>
            <wp:extent cx="1270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-34925</wp:posOffset>
            </wp:positionV>
            <wp:extent cx="1270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-34925</wp:posOffset>
            </wp:positionV>
            <wp:extent cx="12700"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-34925</wp:posOffset>
            </wp:positionV>
            <wp:extent cx="12700"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-34925</wp:posOffset>
            </wp:positionV>
            <wp:extent cx="127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-34925</wp:posOffset>
            </wp:positionV>
            <wp:extent cx="12700"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-34925</wp:posOffset>
            </wp:positionV>
            <wp:extent cx="12700"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-34925</wp:posOffset>
            </wp:positionV>
            <wp:extent cx="12700"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7045325</wp:posOffset>
            </wp:positionH>
            <wp:positionV relativeFrom="paragraph">
              <wp:posOffset>-34925</wp:posOffset>
            </wp:positionV>
            <wp:extent cx="12700"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-34925</wp:posOffset>
            </wp:positionV>
            <wp:extent cx="12700"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net sales by business segment and geographic market (dollars in millions):</w:t>
      </w:r>
    </w:p>
    <w:p>
      <w:pPr>
        <w:spacing w:after="0" w:line="38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w w:val="88"/>
              </w:rPr>
              <w:t>Years Ended December 31,</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left="300"/>
              <w:spacing w:after="0"/>
              <w:rPr>
                <w:sz w:val="20"/>
                <w:szCs w:val="20"/>
                <w:color w:val="auto"/>
              </w:rPr>
            </w:pPr>
            <w:r>
              <w:rPr>
                <w:rFonts w:ascii="Arial" w:cs="Arial" w:eastAsia="Arial" w:hAnsi="Arial"/>
                <w:sz w:val="12"/>
                <w:szCs w:val="12"/>
                <w:b w:val="1"/>
                <w:bCs w:val="1"/>
                <w:color w:val="auto"/>
                <w:w w:val="86"/>
              </w:rPr>
              <w:t>Restated</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9"/>
              </w:rPr>
              <w:t>2003</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6"/>
          </w:tcPr>
          <w:p>
            <w:pPr>
              <w:jc w:val="center"/>
              <w:ind w:left="864"/>
              <w:spacing w:after="0"/>
              <w:rPr>
                <w:sz w:val="20"/>
                <w:szCs w:val="20"/>
                <w:color w:val="auto"/>
              </w:rPr>
            </w:pPr>
            <w:r>
              <w:rPr>
                <w:rFonts w:ascii="Arial" w:cs="Arial" w:eastAsia="Arial" w:hAnsi="Arial"/>
                <w:sz w:val="12"/>
                <w:szCs w:val="12"/>
                <w:b w:val="1"/>
                <w:bCs w:val="1"/>
                <w:color w:val="auto"/>
                <w:w w:val="89"/>
              </w:rPr>
              <w:t>2002</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9"/>
              </w:rPr>
              <w:t>2001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5"/>
          </w:tcPr>
          <w:p>
            <w:pPr>
              <w:jc w:val="right"/>
              <w:ind w:right="22"/>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5"/>
          </w:tcPr>
          <w:p>
            <w:pPr>
              <w:ind w:left="32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94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Business Segment:</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Residential</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$1,358.7</w:t>
            </w:r>
          </w:p>
        </w:tc>
        <w:tc>
          <w:tcPr>
            <w:tcW w:w="60" w:type="dxa"/>
            <w:vAlign w:val="bottom"/>
          </w:tcPr>
          <w:p>
            <w:pPr>
              <w:spacing w:after="0"/>
              <w:rPr>
                <w:sz w:val="16"/>
                <w:szCs w:val="16"/>
                <w:color w:val="auto"/>
              </w:rPr>
            </w:pPr>
          </w:p>
        </w:tc>
        <w:tc>
          <w:tcPr>
            <w:tcW w:w="1140" w:type="dxa"/>
            <w:vAlign w:val="bottom"/>
            <w:gridSpan w:val="7"/>
          </w:tcPr>
          <w:p>
            <w:pPr>
              <w:jc w:val="right"/>
              <w:ind w:right="60"/>
              <w:spacing w:after="0"/>
              <w:rPr>
                <w:sz w:val="20"/>
                <w:szCs w:val="20"/>
                <w:color w:val="auto"/>
              </w:rPr>
            </w:pPr>
            <w:r>
              <w:rPr>
                <w:rFonts w:ascii="Arial" w:cs="Arial" w:eastAsia="Arial" w:hAnsi="Arial"/>
                <w:sz w:val="16"/>
                <w:szCs w:val="16"/>
                <w:color w:val="auto"/>
              </w:rPr>
              <w:t>44.0%</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$1,249.1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41.3%</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$1,195.1</w:t>
            </w:r>
          </w:p>
        </w:tc>
        <w:tc>
          <w:tcPr>
            <w:tcW w:w="80" w:type="dxa"/>
            <w:vAlign w:val="bottom"/>
          </w:tcPr>
          <w:p>
            <w:pPr>
              <w:spacing w:after="0"/>
              <w:rPr>
                <w:sz w:val="16"/>
                <w:szCs w:val="16"/>
                <w:color w:val="auto"/>
              </w:rPr>
            </w:pPr>
          </w:p>
        </w:tc>
        <w:tc>
          <w:tcPr>
            <w:tcW w:w="1140" w:type="dxa"/>
            <w:vAlign w:val="bottom"/>
            <w:gridSpan w:val="7"/>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Commercial</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508.4</w:t>
            </w:r>
          </w:p>
        </w:tc>
        <w:tc>
          <w:tcPr>
            <w:tcW w:w="60" w:type="dxa"/>
            <w:vAlign w:val="bottom"/>
            <w:shd w:val="clear" w:color="auto" w:fill="EEEEEE"/>
          </w:tcPr>
          <w:p>
            <w:pPr>
              <w:spacing w:after="0"/>
              <w:rPr>
                <w:sz w:val="16"/>
                <w:szCs w:val="16"/>
                <w:color w:val="auto"/>
              </w:rPr>
            </w:pPr>
          </w:p>
        </w:tc>
        <w:tc>
          <w:tcPr>
            <w:tcW w:w="960" w:type="dxa"/>
            <w:vAlign w:val="bottom"/>
            <w:gridSpan w:val="6"/>
            <w:shd w:val="clear" w:color="auto" w:fill="EEEEEE"/>
          </w:tcPr>
          <w:p>
            <w:pPr>
              <w:jc w:val="right"/>
              <w:ind w:right="20"/>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EEEEEE"/>
          </w:tcPr>
          <w:p>
            <w:pPr>
              <w:spacing w:after="0"/>
              <w:rPr>
                <w:sz w:val="16"/>
                <w:szCs w:val="16"/>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442.4</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14.6</w:t>
            </w:r>
          </w:p>
        </w:tc>
        <w:tc>
          <w:tcPr>
            <w:tcW w:w="200" w:type="dxa"/>
            <w:vAlign w:val="bottom"/>
            <w:shd w:val="clear" w:color="auto" w:fill="EEEEEE"/>
          </w:tcPr>
          <w:p>
            <w:pPr>
              <w:spacing w:after="0"/>
              <w:rPr>
                <w:sz w:val="16"/>
                <w:szCs w:val="16"/>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470.0</w:t>
            </w:r>
          </w:p>
        </w:tc>
        <w:tc>
          <w:tcPr>
            <w:tcW w:w="80" w:type="dxa"/>
            <w:vAlign w:val="bottom"/>
            <w:shd w:val="clear" w:color="auto" w:fill="EEEEEE"/>
          </w:tcPr>
          <w:p>
            <w:pPr>
              <w:spacing w:after="0"/>
              <w:rPr>
                <w:sz w:val="16"/>
                <w:szCs w:val="16"/>
                <w:color w:val="auto"/>
              </w:rPr>
            </w:pPr>
          </w:p>
        </w:tc>
        <w:tc>
          <w:tcPr>
            <w:tcW w:w="960" w:type="dxa"/>
            <w:vAlign w:val="bottom"/>
            <w:gridSpan w:val="6"/>
            <w:shd w:val="clear" w:color="auto" w:fill="EEEEEE"/>
          </w:tcPr>
          <w:p>
            <w:pPr>
              <w:jc w:val="right"/>
              <w:ind w:right="20"/>
              <w:spacing w:after="0"/>
              <w:rPr>
                <w:sz w:val="20"/>
                <w:szCs w:val="20"/>
                <w:color w:val="auto"/>
              </w:rPr>
            </w:pPr>
            <w:r>
              <w:rPr>
                <w:rFonts w:ascii="Arial" w:cs="Arial" w:eastAsia="Arial" w:hAnsi="Arial"/>
                <w:sz w:val="16"/>
                <w:szCs w:val="16"/>
                <w:color w:val="auto"/>
              </w:rPr>
              <w:t>15.1</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60" w:type="dxa"/>
            <w:vAlign w:val="bottom"/>
          </w:tcPr>
          <w:p>
            <w:pPr>
              <w:ind w:left="220"/>
              <w:spacing w:after="0"/>
              <w:rPr>
                <w:sz w:val="20"/>
                <w:szCs w:val="20"/>
                <w:color w:val="auto"/>
              </w:rPr>
            </w:pPr>
            <w:r>
              <w:rPr>
                <w:rFonts w:ascii="Arial" w:cs="Arial" w:eastAsia="Arial" w:hAnsi="Arial"/>
                <w:sz w:val="16"/>
                <w:szCs w:val="16"/>
                <w:color w:val="auto"/>
              </w:rPr>
              <w:t>Heating &amp; Cooling</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1,867.1</w:t>
            </w:r>
          </w:p>
        </w:tc>
        <w:tc>
          <w:tcPr>
            <w:tcW w:w="60" w:type="dxa"/>
            <w:vAlign w:val="bottom"/>
          </w:tcPr>
          <w:p>
            <w:pPr>
              <w:spacing w:after="0"/>
              <w:rPr>
                <w:sz w:val="24"/>
                <w:szCs w:val="24"/>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60.5</w:t>
            </w:r>
          </w:p>
        </w:tc>
        <w:tc>
          <w:tcPr>
            <w:tcW w:w="1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1,691.5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1,665.1</w:t>
            </w:r>
          </w:p>
        </w:tc>
        <w:tc>
          <w:tcPr>
            <w:tcW w:w="80" w:type="dxa"/>
            <w:vAlign w:val="bottom"/>
          </w:tcPr>
          <w:p>
            <w:pPr>
              <w:spacing w:after="0"/>
              <w:rPr>
                <w:sz w:val="24"/>
                <w:szCs w:val="24"/>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53.5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Service Experts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937.1</w:t>
            </w:r>
          </w:p>
        </w:tc>
        <w:tc>
          <w:tcPr>
            <w:tcW w:w="60" w:type="dxa"/>
            <w:vAlign w:val="bottom"/>
            <w:shd w:val="clear" w:color="auto" w:fill="EEEEEE"/>
          </w:tcPr>
          <w:p>
            <w:pPr>
              <w:spacing w:after="0"/>
              <w:rPr>
                <w:sz w:val="16"/>
                <w:szCs w:val="16"/>
                <w:color w:val="auto"/>
              </w:rPr>
            </w:pPr>
          </w:p>
        </w:tc>
        <w:tc>
          <w:tcPr>
            <w:tcW w:w="960" w:type="dxa"/>
            <w:vAlign w:val="bottom"/>
            <w:gridSpan w:val="6"/>
            <w:shd w:val="clear" w:color="auto" w:fill="EEEEEE"/>
          </w:tcPr>
          <w:p>
            <w:pPr>
              <w:jc w:val="right"/>
              <w:ind w:right="20"/>
              <w:spacing w:after="0"/>
              <w:rPr>
                <w:sz w:val="20"/>
                <w:szCs w:val="20"/>
                <w:color w:val="auto"/>
              </w:rPr>
            </w:pPr>
            <w:r>
              <w:rPr>
                <w:rFonts w:ascii="Arial" w:cs="Arial" w:eastAsia="Arial" w:hAnsi="Arial"/>
                <w:sz w:val="16"/>
                <w:szCs w:val="16"/>
                <w:color w:val="auto"/>
              </w:rPr>
              <w:t>30.4</w:t>
            </w:r>
          </w:p>
        </w:tc>
        <w:tc>
          <w:tcPr>
            <w:tcW w:w="180" w:type="dxa"/>
            <w:vAlign w:val="bottom"/>
            <w:shd w:val="clear" w:color="auto" w:fill="EEEEEE"/>
          </w:tcPr>
          <w:p>
            <w:pPr>
              <w:spacing w:after="0"/>
              <w:rPr>
                <w:sz w:val="16"/>
                <w:szCs w:val="16"/>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942.6</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31.2</w:t>
            </w:r>
          </w:p>
        </w:tc>
        <w:tc>
          <w:tcPr>
            <w:tcW w:w="200" w:type="dxa"/>
            <w:vAlign w:val="bottom"/>
            <w:shd w:val="clear" w:color="auto" w:fill="EEEEEE"/>
          </w:tcPr>
          <w:p>
            <w:pPr>
              <w:spacing w:after="0"/>
              <w:rPr>
                <w:sz w:val="16"/>
                <w:szCs w:val="16"/>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1,002.6</w:t>
            </w:r>
          </w:p>
        </w:tc>
        <w:tc>
          <w:tcPr>
            <w:tcW w:w="80" w:type="dxa"/>
            <w:vAlign w:val="bottom"/>
            <w:shd w:val="clear" w:color="auto" w:fill="EEEEEE"/>
          </w:tcPr>
          <w:p>
            <w:pPr>
              <w:spacing w:after="0"/>
              <w:rPr>
                <w:sz w:val="16"/>
                <w:szCs w:val="16"/>
                <w:color w:val="auto"/>
              </w:rPr>
            </w:pPr>
          </w:p>
        </w:tc>
        <w:tc>
          <w:tcPr>
            <w:tcW w:w="960" w:type="dxa"/>
            <w:vAlign w:val="bottom"/>
            <w:gridSpan w:val="6"/>
            <w:shd w:val="clear" w:color="auto" w:fill="EEEEEE"/>
          </w:tcPr>
          <w:p>
            <w:pPr>
              <w:jc w:val="right"/>
              <w:ind w:right="20"/>
              <w:spacing w:after="0"/>
              <w:rPr>
                <w:sz w:val="20"/>
                <w:szCs w:val="20"/>
                <w:color w:val="auto"/>
              </w:rPr>
            </w:pPr>
            <w:r>
              <w:rPr>
                <w:rFonts w:ascii="Arial" w:cs="Arial" w:eastAsia="Arial" w:hAnsi="Arial"/>
                <w:sz w:val="16"/>
                <w:szCs w:val="16"/>
                <w:color w:val="auto"/>
              </w:rPr>
              <w:t>32.2</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Refrigeration</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387.2</w:t>
            </w:r>
          </w:p>
        </w:tc>
        <w:tc>
          <w:tcPr>
            <w:tcW w:w="60" w:type="dxa"/>
            <w:vAlign w:val="bottom"/>
          </w:tcPr>
          <w:p>
            <w:pPr>
              <w:spacing w:after="0"/>
              <w:rPr>
                <w:sz w:val="16"/>
                <w:szCs w:val="16"/>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363.8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348.1</w:t>
            </w:r>
          </w:p>
        </w:tc>
        <w:tc>
          <w:tcPr>
            <w:tcW w:w="80" w:type="dxa"/>
            <w:vAlign w:val="bottom"/>
          </w:tcPr>
          <w:p>
            <w:pPr>
              <w:spacing w:after="0"/>
              <w:rPr>
                <w:sz w:val="16"/>
                <w:szCs w:val="16"/>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Corporate and other</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129.3</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EEEEEE"/>
          </w:tcPr>
          <w:p>
            <w:pPr>
              <w:spacing w:after="0"/>
              <w:rPr>
                <w:sz w:val="16"/>
                <w:szCs w:val="16"/>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200.5</w:t>
            </w:r>
          </w:p>
        </w:tc>
        <w:tc>
          <w:tcPr>
            <w:tcW w:w="80" w:type="dxa"/>
            <w:vAlign w:val="bottom"/>
            <w:shd w:val="clear" w:color="auto" w:fill="EEEEEE"/>
          </w:tcPr>
          <w:p>
            <w:pPr>
              <w:spacing w:after="0"/>
              <w:rPr>
                <w:sz w:val="16"/>
                <w:szCs w:val="16"/>
                <w:color w:val="auto"/>
              </w:rPr>
            </w:pPr>
          </w:p>
        </w:tc>
        <w:tc>
          <w:tcPr>
            <w:tcW w:w="960" w:type="dxa"/>
            <w:vAlign w:val="bottom"/>
            <w:gridSpan w:val="6"/>
            <w:shd w:val="clear" w:color="auto" w:fill="EEEEEE"/>
          </w:tcPr>
          <w:p>
            <w:pPr>
              <w:jc w:val="right"/>
              <w:ind w:right="2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Eliminations</w:t>
            </w:r>
          </w:p>
        </w:tc>
        <w:tc>
          <w:tcPr>
            <w:tcW w:w="860" w:type="dxa"/>
            <w:vAlign w:val="bottom"/>
            <w:gridSpan w:val="4"/>
          </w:tcPr>
          <w:p>
            <w:pPr>
              <w:jc w:val="right"/>
              <w:ind w:right="20"/>
              <w:spacing w:after="0"/>
              <w:rPr>
                <w:sz w:val="20"/>
                <w:szCs w:val="20"/>
                <w:color w:val="auto"/>
              </w:rPr>
            </w:pPr>
            <w:r>
              <w:rPr>
                <w:rFonts w:ascii="Arial" w:cs="Arial" w:eastAsia="Arial" w:hAnsi="Arial"/>
                <w:sz w:val="16"/>
                <w:szCs w:val="16"/>
                <w:color w:val="auto"/>
              </w:rPr>
              <w:t>(106.3)</w:t>
            </w:r>
          </w:p>
        </w:tc>
        <w:tc>
          <w:tcPr>
            <w:tcW w:w="1140" w:type="dxa"/>
            <w:vAlign w:val="bottom"/>
            <w:gridSpan w:val="7"/>
          </w:tcPr>
          <w:p>
            <w:pPr>
              <w:jc w:val="right"/>
              <w:ind w:right="140"/>
              <w:spacing w:after="0"/>
              <w:rPr>
                <w:sz w:val="20"/>
                <w:szCs w:val="20"/>
                <w:color w:val="auto"/>
              </w:rPr>
            </w:pPr>
            <w:r>
              <w:rPr>
                <w:rFonts w:ascii="Arial" w:cs="Arial" w:eastAsia="Arial" w:hAnsi="Arial"/>
                <w:sz w:val="16"/>
                <w:szCs w:val="16"/>
                <w:color w:val="auto"/>
              </w:rPr>
              <w:t>(3.4)</w:t>
            </w:r>
          </w:p>
        </w:tc>
        <w:tc>
          <w:tcPr>
            <w:tcW w:w="1280" w:type="dxa"/>
            <w:vAlign w:val="bottom"/>
            <w:gridSpan w:val="5"/>
          </w:tcPr>
          <w:p>
            <w:pPr>
              <w:jc w:val="right"/>
              <w:ind w:right="200"/>
              <w:spacing w:after="0"/>
              <w:rPr>
                <w:sz w:val="20"/>
                <w:szCs w:val="20"/>
                <w:color w:val="auto"/>
              </w:rPr>
            </w:pPr>
            <w:r>
              <w:rPr>
                <w:rFonts w:ascii="Arial" w:cs="Arial" w:eastAsia="Arial" w:hAnsi="Arial"/>
                <w:sz w:val="16"/>
                <w:szCs w:val="16"/>
                <w:color w:val="auto"/>
              </w:rPr>
              <w:t>(102.6)</w:t>
            </w:r>
          </w:p>
        </w:tc>
        <w:tc>
          <w:tcPr>
            <w:tcW w:w="26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(3.4)</w:t>
            </w:r>
          </w:p>
        </w:tc>
        <w:tc>
          <w:tcPr>
            <w:tcW w:w="1120" w:type="dxa"/>
            <w:vAlign w:val="bottom"/>
            <w:gridSpan w:val="4"/>
          </w:tcPr>
          <w:p>
            <w:pPr>
              <w:jc w:val="right"/>
              <w:ind w:right="20"/>
              <w:spacing w:after="0"/>
              <w:rPr>
                <w:sz w:val="20"/>
                <w:szCs w:val="20"/>
                <w:color w:val="auto"/>
              </w:rPr>
            </w:pPr>
            <w:r>
              <w:rPr>
                <w:rFonts w:ascii="Arial" w:cs="Arial" w:eastAsia="Arial" w:hAnsi="Arial"/>
                <w:sz w:val="16"/>
                <w:szCs w:val="16"/>
                <w:color w:val="auto"/>
              </w:rPr>
              <w:t>(102.7)</w:t>
            </w:r>
          </w:p>
        </w:tc>
        <w:tc>
          <w:tcPr>
            <w:tcW w:w="1140" w:type="dxa"/>
            <w:vAlign w:val="bottom"/>
            <w:gridSpan w:val="7"/>
          </w:tcPr>
          <w:p>
            <w:pPr>
              <w:jc w:val="right"/>
              <w:ind w:right="1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ind w:left="460"/>
              <w:spacing w:after="0"/>
              <w:rPr>
                <w:sz w:val="20"/>
                <w:szCs w:val="20"/>
                <w:color w:val="auto"/>
              </w:rPr>
            </w:pPr>
            <w:r>
              <w:rPr>
                <w:rFonts w:ascii="Arial" w:cs="Arial" w:eastAsia="Arial" w:hAnsi="Arial"/>
                <w:sz w:val="16"/>
                <w:szCs w:val="16"/>
                <w:color w:val="auto"/>
              </w:rPr>
              <w:t>Total net sales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$3,085.1</w:t>
            </w:r>
          </w:p>
        </w:tc>
        <w:tc>
          <w:tcPr>
            <w:tcW w:w="6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$3,024.6</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gridSpan w:val="3"/>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$3,113.6</w:t>
            </w:r>
          </w:p>
        </w:tc>
        <w:tc>
          <w:tcPr>
            <w:tcW w:w="8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7"/>
        </w:trPr>
        <w:tc>
          <w:tcPr>
            <w:tcW w:w="3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Geographic Market:</w:t>
            </w: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3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U.S.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$2,344.6</w:t>
            </w:r>
          </w:p>
        </w:tc>
        <w:tc>
          <w:tcPr>
            <w:tcW w:w="6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76.0%</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$2,357.6</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gridSpan w:val="3"/>
            <w:shd w:val="clear" w:color="auto" w:fill="EEEEEE"/>
          </w:tcPr>
          <w:p>
            <w:pPr>
              <w:jc w:val="right"/>
              <w:ind w:right="60"/>
              <w:spacing w:after="0"/>
              <w:rPr>
                <w:sz w:val="20"/>
                <w:szCs w:val="20"/>
                <w:color w:val="auto"/>
              </w:rPr>
            </w:pPr>
            <w:r>
              <w:rPr>
                <w:rFonts w:ascii="Arial" w:cs="Arial" w:eastAsia="Arial" w:hAnsi="Arial"/>
                <w:sz w:val="16"/>
                <w:szCs w:val="16"/>
                <w:color w:val="auto"/>
              </w:rPr>
              <w:t>77.9%</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$2,448.5</w:t>
            </w:r>
          </w:p>
        </w:tc>
        <w:tc>
          <w:tcPr>
            <w:tcW w:w="8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International</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740.5</w:t>
            </w:r>
          </w:p>
        </w:tc>
        <w:tc>
          <w:tcPr>
            <w:tcW w:w="6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17"/>
                <w:szCs w:val="17"/>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667.0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665.1</w:t>
            </w:r>
          </w:p>
        </w:tc>
        <w:tc>
          <w:tcPr>
            <w:tcW w:w="80" w:type="dxa"/>
            <w:vAlign w:val="bottom"/>
          </w:tcPr>
          <w:p>
            <w:pPr>
              <w:spacing w:after="0"/>
              <w:rPr>
                <w:sz w:val="17"/>
                <w:szCs w:val="17"/>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ind w:left="460"/>
              <w:spacing w:after="0"/>
              <w:rPr>
                <w:sz w:val="20"/>
                <w:szCs w:val="20"/>
                <w:color w:val="auto"/>
              </w:rPr>
            </w:pPr>
            <w:r>
              <w:rPr>
                <w:rFonts w:ascii="Arial" w:cs="Arial" w:eastAsia="Arial" w:hAnsi="Arial"/>
                <w:sz w:val="16"/>
                <w:szCs w:val="16"/>
                <w:color w:val="auto"/>
              </w:rPr>
              <w:t>Total net sales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$3,085.1</w:t>
            </w:r>
          </w:p>
        </w:tc>
        <w:tc>
          <w:tcPr>
            <w:tcW w:w="6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$3,024.6</w:t>
            </w:r>
          </w:p>
        </w:tc>
        <w:tc>
          <w:tcPr>
            <w:tcW w:w="2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720" w:type="dxa"/>
            <w:vAlign w:val="bottom"/>
            <w:gridSpan w:val="3"/>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$3,113.6</w:t>
            </w:r>
          </w:p>
        </w:tc>
        <w:tc>
          <w:tcPr>
            <w:tcW w:w="80" w:type="dxa"/>
            <w:vAlign w:val="bottom"/>
            <w:shd w:val="clear" w:color="auto" w:fill="EEEEEE"/>
          </w:tcPr>
          <w:p>
            <w:pPr>
              <w:spacing w:after="0"/>
              <w:rPr>
                <w:sz w:val="16"/>
                <w:szCs w:val="16"/>
                <w:color w:val="auto"/>
              </w:rPr>
            </w:pPr>
          </w:p>
        </w:tc>
        <w:tc>
          <w:tcPr>
            <w:tcW w:w="1140" w:type="dxa"/>
            <w:vAlign w:val="bottom"/>
            <w:gridSpan w:val="7"/>
            <w:shd w:val="clear" w:color="auto" w:fill="EEEEEE"/>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-799465</wp:posOffset>
            </wp:positionV>
            <wp:extent cx="1270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-799465</wp:posOffset>
            </wp:positionV>
            <wp:extent cx="12700"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-799465</wp:posOffset>
            </wp:positionV>
            <wp:extent cx="1270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-799465</wp:posOffset>
            </wp:positionV>
            <wp:extent cx="12700"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-799465</wp:posOffset>
            </wp:positionV>
            <wp:extent cx="12700"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-799465</wp:posOffset>
            </wp:positionV>
            <wp:extent cx="127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-799465</wp:posOffset>
            </wp:positionV>
            <wp:extent cx="1270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-799465</wp:posOffset>
            </wp:positionV>
            <wp:extent cx="12700"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6113780</wp:posOffset>
            </wp:positionH>
            <wp:positionV relativeFrom="paragraph">
              <wp:posOffset>-799465</wp:posOffset>
            </wp:positionV>
            <wp:extent cx="12700"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-799465</wp:posOffset>
            </wp:positionV>
            <wp:extent cx="1270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-799465</wp:posOffset>
            </wp:positionV>
            <wp:extent cx="1270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-799465</wp:posOffset>
            </wp:positionV>
            <wp:extent cx="1270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-34925</wp:posOffset>
            </wp:positionV>
            <wp:extent cx="1270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-34925</wp:posOffset>
            </wp:positionV>
            <wp:extent cx="1270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-34925</wp:posOffset>
            </wp:positionV>
            <wp:extent cx="1270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-34925</wp:posOffset>
            </wp:positionV>
            <wp:extent cx="127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-34925</wp:posOffset>
            </wp:positionV>
            <wp:extent cx="1270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-34925</wp:posOffset>
            </wp:positionV>
            <wp:extent cx="1270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-34925</wp:posOffset>
            </wp:positionV>
            <wp:extent cx="1270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-34925</wp:posOffset>
            </wp:positionV>
            <wp:extent cx="1270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6113780</wp:posOffset>
            </wp:positionH>
            <wp:positionV relativeFrom="paragraph">
              <wp:posOffset>-34925</wp:posOffset>
            </wp:positionV>
            <wp:extent cx="1270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-34925</wp:posOffset>
            </wp:positionV>
            <wp:extent cx="1270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-34925</wp:posOffset>
            </wp:positionV>
            <wp:extent cx="12700"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-34925</wp:posOffset>
            </wp:positionV>
            <wp:extent cx="1270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Year Ended December 31, 2003 Compared to Year Ended December 31, 2002</w:t>
      </w:r>
    </w:p>
    <w:p>
      <w:pPr>
        <w:spacing w:after="0" w:line="222" w:lineRule="exact"/>
        <w:rPr>
          <w:sz w:val="20"/>
          <w:szCs w:val="20"/>
          <w:color w:val="auto"/>
        </w:rPr>
      </w:pPr>
    </w:p>
    <w:p>
      <w:pPr>
        <w:ind w:right="400" w:firstLine="286"/>
        <w:spacing w:after="0" w:line="264" w:lineRule="auto"/>
        <w:rPr>
          <w:sz w:val="20"/>
          <w:szCs w:val="20"/>
          <w:color w:val="auto"/>
        </w:rPr>
      </w:pPr>
      <w:r>
        <w:rPr>
          <w:rFonts w:ascii="Arial" w:cs="Arial" w:eastAsia="Arial" w:hAnsi="Arial"/>
          <w:sz w:val="16"/>
          <w:szCs w:val="16"/>
          <w:i w:val="1"/>
          <w:iCs w:val="1"/>
          <w:color w:val="auto"/>
        </w:rPr>
        <w:t>The Results of Operations have been revised to reflect the restatement of the Company’s Consolidated Financial Statements for the year ended December 31, 2002. For more information, see “Restatement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i w:val="1"/>
          <w:iCs w:val="1"/>
          <w:color w:val="auto"/>
        </w:rPr>
        <w:t>Previously-Issued Financial Statements” located at the beginning of the MD&amp;A as well as Note 3 titled “Restatement of 2002 Financial Statements and Additional Information for 2003” in the Notes to Consolidated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Net Sales</w:t>
      </w:r>
    </w:p>
    <w:p>
      <w:pPr>
        <w:spacing w:after="0" w:line="222" w:lineRule="exact"/>
        <w:rPr>
          <w:sz w:val="20"/>
          <w:szCs w:val="20"/>
          <w:color w:val="auto"/>
        </w:rPr>
      </w:pPr>
    </w:p>
    <w:p>
      <w:pPr>
        <w:ind w:firstLine="286"/>
        <w:spacing w:after="0" w:line="293" w:lineRule="auto"/>
        <w:rPr>
          <w:sz w:val="20"/>
          <w:szCs w:val="20"/>
          <w:color w:val="auto"/>
        </w:rPr>
      </w:pPr>
      <w:r>
        <w:rPr>
          <w:rFonts w:ascii="Arial" w:cs="Arial" w:eastAsia="Arial" w:hAnsi="Arial"/>
          <w:sz w:val="14"/>
          <w:szCs w:val="14"/>
          <w:color w:val="auto"/>
        </w:rPr>
        <w:t>Net sales increased $60.5 million, or 2.0%, to $3,085.1 million for the year ended December 31, 2003 from $3,024.6 million for the comparable period in 2002. Adjusted for the favorable impact of foreign currency translation, net sales declined 1.3% compared to the same period last year. Higher net sales in the Residential Heating &amp; Cooling and Commercial Heating &amp; Cooling segments and in the Refrigeration segment were partially offset by lower net sales in the Service Experts business segment, the absence of net sales from the Company’s former Heat Transfer business segment, 55% of which was sold to Outokumpu during the third quarter of 2002, and the wind-down of the Company’s engineered machine tool business. The Company currently reports the historical results of operations of its former Heat Transfer business segment in the “Corporate and other” business segment. Adjusting for the loss of $129.3 million of net sales from the Company’s former Heat Transfer business segment and $100.2 million favorable impact of foreign currency translation, net sales increased $89.6 million, or 3.1%, for the year ended December 31, 2003 compared to the year ended December 31, 2002 as shown in the following table (dollars in millions):</w:t>
      </w:r>
    </w:p>
    <w:p>
      <w:pPr>
        <w:spacing w:after="0" w:line="33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right"/>
              <w:ind w:right="980"/>
              <w:spacing w:after="0"/>
              <w:rPr>
                <w:sz w:val="20"/>
                <w:szCs w:val="20"/>
                <w:color w:val="auto"/>
              </w:rPr>
            </w:pPr>
            <w:r>
              <w:rPr>
                <w:rFonts w:ascii="Arial" w:cs="Arial" w:eastAsia="Arial" w:hAnsi="Arial"/>
                <w:sz w:val="12"/>
                <w:szCs w:val="12"/>
                <w:b w:val="1"/>
                <w:bCs w:val="1"/>
                <w:color w:val="auto"/>
                <w:w w:val="96"/>
              </w:rPr>
              <w:t>Year Ended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right"/>
              <w:ind w:right="920"/>
              <w:spacing w:after="0"/>
              <w:rPr>
                <w:sz w:val="20"/>
                <w:szCs w:val="20"/>
                <w:color w:val="auto"/>
              </w:rPr>
            </w:pPr>
            <w:r>
              <w:rPr>
                <w:rFonts w:ascii="Arial" w:cs="Arial" w:eastAsia="Arial" w:hAnsi="Arial"/>
                <w:sz w:val="12"/>
                <w:szCs w:val="12"/>
                <w:b w:val="1"/>
                <w:bCs w:val="1"/>
                <w:color w:val="auto"/>
                <w:w w:val="89"/>
              </w:rPr>
              <w:t>December 31,</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2"/>
              </w:rPr>
              <w:t>Restated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2003</w:t>
            </w:r>
          </w:p>
        </w:tc>
        <w:tc>
          <w:tcPr>
            <w:tcW w:w="80" w:type="dxa"/>
            <w:vAlign w:val="bottom"/>
          </w:tcPr>
          <w:p>
            <w:pPr>
              <w:spacing w:after="0"/>
              <w:rPr>
                <w:sz w:val="13"/>
                <w:szCs w:val="13"/>
                <w:color w:val="auto"/>
              </w:rPr>
            </w:pPr>
          </w:p>
        </w:tc>
        <w:tc>
          <w:tcPr>
            <w:tcW w:w="1280" w:type="dxa"/>
            <w:vAlign w:val="bottom"/>
            <w:gridSpan w:val="4"/>
          </w:tcPr>
          <w:p>
            <w:pPr>
              <w:jc w:val="right"/>
              <w:ind w:right="51"/>
              <w:spacing w:after="0"/>
              <w:rPr>
                <w:sz w:val="20"/>
                <w:szCs w:val="20"/>
                <w:color w:val="auto"/>
              </w:rPr>
            </w:pPr>
            <w:r>
              <w:rPr>
                <w:rFonts w:ascii="Arial" w:cs="Arial" w:eastAsia="Arial" w:hAnsi="Arial"/>
                <w:sz w:val="12"/>
                <w:szCs w:val="12"/>
                <w:b w:val="1"/>
                <w:bCs w:val="1"/>
                <w:color w:val="auto"/>
              </w:rPr>
              <w:t>2002</w:t>
            </w:r>
          </w:p>
        </w:tc>
        <w:tc>
          <w:tcPr>
            <w:tcW w:w="360" w:type="dxa"/>
            <w:vAlign w:val="bottom"/>
          </w:tcPr>
          <w:p>
            <w:pPr>
              <w:spacing w:after="0"/>
              <w:rPr>
                <w:sz w:val="13"/>
                <w:szCs w:val="13"/>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6"/>
              </w:rPr>
              <w:t>Change</w:t>
            </w:r>
          </w:p>
        </w:tc>
        <w:tc>
          <w:tcPr>
            <w:tcW w:w="280" w:type="dxa"/>
            <w:vAlign w:val="bottom"/>
          </w:tcPr>
          <w:p>
            <w:pPr>
              <w:spacing w:after="0"/>
              <w:rPr>
                <w:sz w:val="13"/>
                <w:szCs w:val="13"/>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6"/>
                <w:szCs w:val="16"/>
                <w:color w:val="auto"/>
              </w:rPr>
              <w:t>Net sales, as reported</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$3,085.1</w:t>
            </w:r>
          </w:p>
        </w:tc>
        <w:tc>
          <w:tcPr>
            <w:tcW w:w="8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$3,024.6</w:t>
            </w:r>
          </w:p>
        </w:tc>
        <w:tc>
          <w:tcPr>
            <w:tcW w:w="360" w:type="dxa"/>
            <w:vAlign w:val="bottom"/>
            <w:shd w:val="clear" w:color="auto" w:fill="EEEEEE"/>
          </w:tcPr>
          <w:p>
            <w:pPr>
              <w:spacing w:after="0"/>
              <w:rPr>
                <w:sz w:val="16"/>
                <w:szCs w:val="16"/>
                <w:color w:val="auto"/>
              </w:rPr>
            </w:pPr>
          </w:p>
        </w:tc>
        <w:tc>
          <w:tcPr>
            <w:tcW w:w="6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60.5</w:t>
            </w:r>
          </w:p>
        </w:tc>
        <w:tc>
          <w:tcPr>
            <w:tcW w:w="360" w:type="dxa"/>
            <w:vAlign w:val="bottom"/>
            <w:shd w:val="clear" w:color="auto" w:fill="EEEEEE"/>
          </w:tcPr>
          <w:p>
            <w:pPr>
              <w:spacing w:after="0"/>
              <w:rPr>
                <w:sz w:val="16"/>
                <w:szCs w:val="16"/>
                <w:color w:val="auto"/>
              </w:rPr>
            </w:pPr>
          </w:p>
        </w:tc>
        <w:tc>
          <w:tcPr>
            <w:tcW w:w="1260" w:type="dxa"/>
            <w:vAlign w:val="bottom"/>
            <w:gridSpan w:val="5"/>
            <w:shd w:val="clear" w:color="auto" w:fill="EEEEEE"/>
          </w:tcPr>
          <w:p>
            <w:pPr>
              <w:jc w:val="right"/>
              <w:ind w:right="2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Net sales from former Heat Transfer business segment</w:t>
            </w:r>
          </w:p>
        </w:tc>
        <w:tc>
          <w:tcPr>
            <w:tcW w:w="36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gridSpan w:val="5"/>
          </w:tcPr>
          <w:p>
            <w:pPr>
              <w:jc w:val="right"/>
              <w:ind w:right="300"/>
              <w:spacing w:after="0"/>
              <w:rPr>
                <w:sz w:val="20"/>
                <w:szCs w:val="20"/>
                <w:color w:val="auto"/>
              </w:rPr>
            </w:pPr>
            <w:r>
              <w:rPr>
                <w:rFonts w:ascii="Arial" w:cs="Arial" w:eastAsia="Arial" w:hAnsi="Arial"/>
                <w:sz w:val="16"/>
                <w:szCs w:val="16"/>
                <w:color w:val="auto"/>
              </w:rPr>
              <w:t>(129.3)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129.3</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6"/>
                <w:szCs w:val="16"/>
                <w:color w:val="auto"/>
              </w:rPr>
              <w:t>Impact of foreign currency translation</w:t>
            </w:r>
          </w:p>
        </w:tc>
        <w:tc>
          <w:tcPr>
            <w:tcW w:w="920" w:type="dxa"/>
            <w:vAlign w:val="bottom"/>
            <w:gridSpan w:val="3"/>
            <w:shd w:val="clear" w:color="auto" w:fill="EEEEEE"/>
          </w:tcPr>
          <w:p>
            <w:pPr>
              <w:jc w:val="right"/>
              <w:ind w:right="40"/>
              <w:spacing w:after="0"/>
              <w:rPr>
                <w:sz w:val="20"/>
                <w:szCs w:val="20"/>
                <w:color w:val="auto"/>
              </w:rPr>
            </w:pPr>
            <w:r>
              <w:rPr>
                <w:rFonts w:ascii="Arial" w:cs="Arial" w:eastAsia="Arial" w:hAnsi="Arial"/>
                <w:sz w:val="16"/>
                <w:szCs w:val="16"/>
                <w:color w:val="auto"/>
              </w:rPr>
              <w:t>(100.2)</w:t>
            </w: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6"/>
                <w:szCs w:val="16"/>
                <w:color w:val="auto"/>
              </w:rPr>
              <w:t>—</w:t>
            </w:r>
          </w:p>
        </w:tc>
        <w:tc>
          <w:tcPr>
            <w:tcW w:w="1400" w:type="dxa"/>
            <w:vAlign w:val="bottom"/>
            <w:gridSpan w:val="6"/>
            <w:shd w:val="clear" w:color="auto" w:fill="EEEEEE"/>
          </w:tcPr>
          <w:p>
            <w:pPr>
              <w:jc w:val="right"/>
              <w:ind w:right="320"/>
              <w:spacing w:after="0"/>
              <w:rPr>
                <w:sz w:val="20"/>
                <w:szCs w:val="20"/>
                <w:color w:val="auto"/>
              </w:rPr>
            </w:pPr>
            <w:r>
              <w:rPr>
                <w:rFonts w:ascii="Arial" w:cs="Arial" w:eastAsia="Arial" w:hAnsi="Arial"/>
                <w:sz w:val="16"/>
                <w:szCs w:val="16"/>
                <w:color w:val="auto"/>
              </w:rPr>
              <w:t>(100.2)</w:t>
            </w: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08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080" w:type="dxa"/>
            <w:vAlign w:val="bottom"/>
            <w:gridSpan w:val="2"/>
          </w:tcPr>
          <w:p>
            <w:pPr>
              <w:spacing w:after="0"/>
              <w:rPr>
                <w:sz w:val="20"/>
                <w:szCs w:val="20"/>
                <w:color w:val="auto"/>
              </w:rPr>
            </w:pPr>
            <w:r>
              <w:rPr>
                <w:rFonts w:ascii="Arial" w:cs="Arial" w:eastAsia="Arial" w:hAnsi="Arial"/>
                <w:sz w:val="16"/>
                <w:szCs w:val="16"/>
                <w:color w:val="auto"/>
              </w:rPr>
              <w:t>Net sales, as adjusted</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$2,984.9</w:t>
            </w:r>
          </w:p>
        </w:tc>
        <w:tc>
          <w:tcPr>
            <w:tcW w:w="8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$2,895.3</w:t>
            </w:r>
          </w:p>
        </w:tc>
        <w:tc>
          <w:tcPr>
            <w:tcW w:w="3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89.6</w:t>
            </w:r>
          </w:p>
        </w:tc>
        <w:tc>
          <w:tcPr>
            <w:tcW w:w="360" w:type="dxa"/>
            <w:vAlign w:val="bottom"/>
          </w:tcPr>
          <w:p>
            <w:pPr>
              <w:spacing w:after="0"/>
              <w:rPr>
                <w:sz w:val="24"/>
                <w:szCs w:val="24"/>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-34925</wp:posOffset>
            </wp:positionV>
            <wp:extent cx="1270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-34925</wp:posOffset>
            </wp:positionV>
            <wp:extent cx="1270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-34925</wp:posOffset>
            </wp:positionV>
            <wp:extent cx="1270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-34925</wp:posOffset>
            </wp:positionV>
            <wp:extent cx="1270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-34925</wp:posOffset>
            </wp:positionV>
            <wp:extent cx="1270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-34925</wp:posOffset>
            </wp:positionV>
            <wp:extent cx="1270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-34925</wp:posOffset>
            </wp:positionV>
            <wp:extent cx="127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-34925</wp:posOffset>
            </wp:positionV>
            <wp:extent cx="1270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sales in the Residential Heating &amp; Cooling business segment increased $109.6 million, or 8.8%, to $1,358.7 million for the year ended December 31, 2003 from</w:t>
      </w:r>
    </w:p>
    <w:p>
      <w:pPr>
        <w:spacing w:after="0" w:line="35"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$1,249.1 million in 2002. Adjusted for the impact of foreign currency translation, net sales increased 7.2%, or $90.0 million, compared to the year ended December 31, 2002. Net sales increases were achieved by the Company’s Lennox and Ducane brands of home comfort equipment and Hearth Products business, all of which experienced sales increases ranging from 10% to 20% for the year ended December 31, 2003 compared to the same period in the prior year.</w:t>
      </w:r>
    </w:p>
    <w:p>
      <w:pPr>
        <w:spacing w:after="0" w:line="166" w:lineRule="exact"/>
        <w:rPr>
          <w:sz w:val="20"/>
          <w:szCs w:val="20"/>
          <w:color w:val="auto"/>
        </w:rPr>
      </w:pPr>
    </w:p>
    <w:p>
      <w:pPr>
        <w:ind w:right="20" w:firstLine="286"/>
        <w:spacing w:after="0" w:line="294" w:lineRule="auto"/>
        <w:rPr>
          <w:sz w:val="20"/>
          <w:szCs w:val="20"/>
          <w:color w:val="auto"/>
        </w:rPr>
      </w:pPr>
      <w:r>
        <w:rPr>
          <w:rFonts w:ascii="Arial" w:cs="Arial" w:eastAsia="Arial" w:hAnsi="Arial"/>
          <w:sz w:val="14"/>
          <w:szCs w:val="14"/>
          <w:color w:val="auto"/>
        </w:rPr>
        <w:t>Higher net sales of the Company’s Lennox brand of home comfort equipment were due primarily to customer acceptance of new products and strength in the residential new construction market driven primarily by lower interest rates. According to the National Association of Home Builders, single and multi-family housing starts of 1.85 million units in 2003 were 8.1% higher than in 2002. Higher net sales of the Company’s Ducane brand of home comfort equipment were due primarily to expanded distribution. Higher net sales in the Company’s Hearth Products business were due primarily to higher sales to new and existing customers and strength in the residential new construction market. Overall, the Company’s Residential Heating &amp; Cooling business segment outperformed the market. For example, according to the Air-Conditioning and Refrigeration Institute, U.S. factory shipments of unitary air conditioners and heat pumps were up only 1% January through December 2003 compared to the same period in 2002.</w:t>
      </w:r>
    </w:p>
    <w:p>
      <w:pPr>
        <w:spacing w:after="0" w:line="176" w:lineRule="exact"/>
        <w:rPr>
          <w:sz w:val="20"/>
          <w:szCs w:val="20"/>
          <w:color w:val="auto"/>
        </w:rPr>
      </w:pPr>
    </w:p>
    <w:p>
      <w:pPr>
        <w:ind w:right="100" w:firstLine="286"/>
        <w:spacing w:after="0" w:line="252" w:lineRule="auto"/>
        <w:rPr>
          <w:sz w:val="20"/>
          <w:szCs w:val="20"/>
          <w:color w:val="auto"/>
        </w:rPr>
      </w:pPr>
      <w:r>
        <w:rPr>
          <w:rFonts w:ascii="Arial" w:cs="Arial" w:eastAsia="Arial" w:hAnsi="Arial"/>
          <w:sz w:val="16"/>
          <w:szCs w:val="16"/>
          <w:color w:val="auto"/>
        </w:rPr>
        <w:t>Net sales in the Commercial Heating &amp; Cooling business segment increased $66.0 million, or 14.9%, to $508.4 million for the year ended December 31, 2003 compared to the year ended December 31, 2002. After adjusting for the impact of foreign currency translation, net sales increased $39.7 million, or 9.0%, compared to the year ended December 31, 2002. The higher net sales were driven primarily by increased domestic sales to new and existing national accounts, as well as higher sales to commercial mechanical contractors. Net sales in the Company’s European operations for the year ended December 31, 2003 were up modestly compared to the same period last year, when adjusted for foreign currency translation.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220" w:firstLine="286"/>
        <w:spacing w:after="0" w:line="301" w:lineRule="auto"/>
        <w:rPr>
          <w:sz w:val="20"/>
          <w:szCs w:val="20"/>
          <w:color w:val="auto"/>
        </w:rPr>
      </w:pPr>
      <w:r>
        <w:rPr>
          <w:rFonts w:ascii="Arial" w:cs="Arial" w:eastAsia="Arial" w:hAnsi="Arial"/>
          <w:sz w:val="14"/>
          <w:szCs w:val="14"/>
          <w:color w:val="auto"/>
        </w:rPr>
        <w:t>Net sales in the Service Experts business segment declined $5.5 million, or 0.6%, to $937.1 million from $942.6 million for the year ended December 31, 2003 compared to the year ended December 31, 2002. Net sales declined $28.2 million, or 3.0%, after adjusting for the impact of foreign currency translation. The sales decline was entirely in the commercial new construction business due in part to price competition and sluggish commercial construction starts. Compared to the year ended December 31, 2002, net sales were higher in the service and replacement businesses and the residential new construction business.</w:t>
      </w:r>
    </w:p>
    <w:p>
      <w:pPr>
        <w:spacing w:after="0" w:line="170" w:lineRule="exact"/>
        <w:rPr>
          <w:sz w:val="20"/>
          <w:szCs w:val="20"/>
          <w:color w:val="auto"/>
        </w:rPr>
      </w:pPr>
    </w:p>
    <w:p>
      <w:pPr>
        <w:jc w:val="center"/>
        <w:ind w:right="40"/>
        <w:spacing w:after="0" w:line="310" w:lineRule="auto"/>
        <w:rPr>
          <w:sz w:val="20"/>
          <w:szCs w:val="20"/>
          <w:color w:val="auto"/>
        </w:rPr>
      </w:pPr>
      <w:r>
        <w:rPr>
          <w:rFonts w:ascii="Arial" w:cs="Arial" w:eastAsia="Arial" w:hAnsi="Arial"/>
          <w:sz w:val="14"/>
          <w:szCs w:val="14"/>
          <w:color w:val="auto"/>
        </w:rPr>
        <w:t>Refrigeration business segment net sales increased $23.4 million, or 6.4%, to $387.2 million for the year ended December 31, 2003 compared to the year ended December 31, 2002. However, after adjusting for the impact of foreign currency translation, net sales decreased $11.7 million, or 3.2%, for the year ended December 31, 2003 compared to 2002. The sales decline, after adjusting for the impact of foreign currency translation, was due primarily to continued depressed domestic and international market demand from retail customers.</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Gross Profit</w:t>
      </w:r>
    </w:p>
    <w:p>
      <w:pPr>
        <w:spacing w:after="0" w:line="222" w:lineRule="exact"/>
        <w:rPr>
          <w:sz w:val="20"/>
          <w:szCs w:val="20"/>
          <w:color w:val="auto"/>
        </w:rPr>
      </w:pPr>
    </w:p>
    <w:p>
      <w:pPr>
        <w:ind w:right="80" w:firstLine="286"/>
        <w:spacing w:after="0" w:line="256" w:lineRule="auto"/>
        <w:rPr>
          <w:sz w:val="20"/>
          <w:szCs w:val="20"/>
          <w:color w:val="auto"/>
        </w:rPr>
      </w:pPr>
      <w:r>
        <w:rPr>
          <w:rFonts w:ascii="Arial" w:cs="Arial" w:eastAsia="Arial" w:hAnsi="Arial"/>
          <w:sz w:val="16"/>
          <w:szCs w:val="16"/>
          <w:color w:val="auto"/>
        </w:rPr>
        <w:t>Gross profit was $1,017.2 million for the year ended December 31, 2003 compared to $947.0 million for the year ended December 31, 2002, an increase of $70.2 million. Gross profit margin improved 1.7% to 33.0% for the year ended December 31, 2003 from 31.3% for the comparable period in the prior year. Gross profit margin improved in the Company’s Residential Heating &amp; Cooling, Commercial Heating &amp; Cooling and Refrigeration business segments.</w:t>
      </w:r>
    </w:p>
    <w:p>
      <w:pPr>
        <w:spacing w:after="0" w:line="198" w:lineRule="exact"/>
        <w:rPr>
          <w:sz w:val="20"/>
          <w:szCs w:val="20"/>
          <w:color w:val="auto"/>
        </w:rPr>
      </w:pPr>
    </w:p>
    <w:p>
      <w:pPr>
        <w:ind w:right="40" w:firstLine="286"/>
        <w:spacing w:after="0" w:line="291" w:lineRule="auto"/>
        <w:rPr>
          <w:sz w:val="20"/>
          <w:szCs w:val="20"/>
          <w:color w:val="auto"/>
        </w:rPr>
      </w:pPr>
      <w:r>
        <w:rPr>
          <w:rFonts w:ascii="Arial" w:cs="Arial" w:eastAsia="Arial" w:hAnsi="Arial"/>
          <w:sz w:val="14"/>
          <w:szCs w:val="14"/>
          <w:color w:val="auto"/>
        </w:rPr>
        <w:t>In the Company’s Residential Heating &amp; Cooling business segment, gross profit margins improved 1.4% for the year ended December 31, 2003 compared to the same period last year due primarily to higher volumes, a favorable mix of higher-margin premium products and improved Hearth Products performance. Gross profit margins improved 2.3% in the Company’s Commercial Heating &amp; Cooling business segment over the same period due to higher volumes, increased factory productivity and the benefits of reducing excess international manufacturing capacity. In the Company’s Service Experts business segment, gross profit margin declined 0.9% over the same period due primarily to unfavorable inventory valuations and increased costs on commercial construction contracts mostly in the Canadian service centers as well as labor inefficiencies and margin erosion driven by price competition necessary to maintain net sales. In the Company’s Refrigeration business segment, gross profit margin improved 1.0% over the same period due primarily to purchasing savings in the Company’s domestic and Asia Pacific operations. The absence of lower-margin business from the Company’s former Heat Transfer business segment also contributed to the gross profit margin improvement for the year ended December 31, 2003 compared to the same period last year. LIFO (last in, first out) inventory liquidations did not have a material impact on gross profit margins.</w:t>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Selling, General and Administrative Expense</w:t>
      </w:r>
    </w:p>
    <w:p>
      <w:pPr>
        <w:spacing w:after="0" w:line="222" w:lineRule="exact"/>
        <w:rPr>
          <w:sz w:val="20"/>
          <w:szCs w:val="20"/>
          <w:color w:val="auto"/>
        </w:rPr>
      </w:pPr>
    </w:p>
    <w:p>
      <w:pPr>
        <w:ind w:firstLine="286"/>
        <w:spacing w:after="0" w:line="293" w:lineRule="auto"/>
        <w:rPr>
          <w:sz w:val="20"/>
          <w:szCs w:val="20"/>
          <w:color w:val="auto"/>
        </w:rPr>
      </w:pPr>
      <w:r>
        <w:rPr>
          <w:rFonts w:ascii="Arial" w:cs="Arial" w:eastAsia="Arial" w:hAnsi="Arial"/>
          <w:sz w:val="14"/>
          <w:szCs w:val="14"/>
          <w:color w:val="auto"/>
        </w:rPr>
        <w:t>Selling, general and administrative (“SG&amp;A”) expenses were $859.6 million for the year ended December 31, 2003, an increase of $20.6 million, or 2.5%, from $839.0 million for the year ended December 31, 2002. The increase in SG&amp;A expenses was driven by $27.0 million of unfavorable foreign currency translation and higher freight, distribution and marketing expenses due primarily to higher sales volumes. Partially offsetting these items were lower SG&amp;A of $9.9 million (excluding unfavorable foreign currency translation) in the Company’s Service Experts business segment and the absence of SG&amp;A from the former Heat Transfer business segment. For the year ended December 31, 2002, Service Experts’ SG&amp;A included a cumulative unfavorable adjustment of $5.9 million for years prior to 2002 in connection with the internal inquiry discussed above (see “Restatement of Previously– Issued Financial Statements” located at the beginning of MD&amp;A). As a percentage of total net sales, SG&amp;A expenses were 27.9% for the year ended December 31, 2003, slightly higher compared to the year ended December 31, 2002. The Company has no significant concentration of credit risk among its diversified customer base.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(Gains) Losses and Other Expenses</w:t>
      </w:r>
    </w:p>
    <w:p>
      <w:pPr>
        <w:spacing w:after="0" w:line="222" w:lineRule="exact"/>
        <w:rPr>
          <w:sz w:val="20"/>
          <w:szCs w:val="20"/>
          <w:color w:val="auto"/>
        </w:rPr>
      </w:pPr>
    </w:p>
    <w:p>
      <w:pPr>
        <w:ind w:firstLine="286"/>
        <w:spacing w:after="0" w:line="293" w:lineRule="auto"/>
        <w:rPr>
          <w:sz w:val="20"/>
          <w:szCs w:val="20"/>
          <w:color w:val="auto"/>
        </w:rPr>
      </w:pPr>
      <w:r>
        <w:rPr>
          <w:rFonts w:ascii="Arial" w:cs="Arial" w:eastAsia="Arial" w:hAnsi="Arial"/>
          <w:sz w:val="14"/>
          <w:szCs w:val="14"/>
          <w:color w:val="auto"/>
        </w:rPr>
        <w:t>(Gains) losses and other expenses were a net pre-tax expense of $1.9 million for the year ended December 31, 2003 which included $3.4 million of pre-tax expenses related to the Heat Transfer joint venture agreement the Company entered into with Outokumpu during the third quarter of 2002, pre-tax expenses totaling $2.6 million from the loss on the sale of a HVAC distributor in the Company’s Residential Heating &amp; Cooling business segment and other expenses partially offset by a $2.4 million pre-tax gain on the sale of the Company’s Electrical Products Division and a $1.7 million pre-tax gain on the sale of a manufacturing facility in Europe in the Company’s Refrigeration business segment. For the year ended December 31, 2002, (gains) losses and other expenses totaled a net pre-tax gain of $7.9 million which included an $11.5 million net pre-tax gain on the sale of a 55% interest in the Company’s former Heat Transfer business segment to Outokumpu partially offset by a $3.6 million pre-tax loss on the sale of the Company’s 50% ownership interest in its Fairco S.A. joint venture in Argentina to the joint venture partner.</w:t>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Restructurings</w:t>
      </w:r>
    </w:p>
    <w:p>
      <w:pPr>
        <w:spacing w:after="0" w:line="222" w:lineRule="exact"/>
        <w:rPr>
          <w:sz w:val="20"/>
          <w:szCs w:val="20"/>
          <w:color w:val="auto"/>
        </w:rPr>
      </w:pPr>
    </w:p>
    <w:p>
      <w:pPr>
        <w:ind w:right="140" w:firstLine="286"/>
        <w:spacing w:after="0" w:line="294" w:lineRule="auto"/>
        <w:rPr>
          <w:sz w:val="20"/>
          <w:szCs w:val="20"/>
          <w:color w:val="auto"/>
        </w:rPr>
      </w:pPr>
      <w:r>
        <w:rPr>
          <w:rFonts w:ascii="Arial" w:cs="Arial" w:eastAsia="Arial" w:hAnsi="Arial"/>
          <w:sz w:val="14"/>
          <w:szCs w:val="14"/>
          <w:color w:val="auto"/>
        </w:rPr>
        <w:t xml:space="preserve">Pre-tax restructuring charges for the year ended December 31, 2002 were $7.8 million. Of these charges, $1.3 million related to the manufacturing and distribution restructuring program which was initiated in the fourth quarter of 2001 and principally included personnel termination charges in the Company’s Residential Heating &amp; Cooling segment, the relocation of production lines, net gains upon disposal of certain impaired assets and restructuring income associated with the subleasing of vacated corporate office lease space. The remaining $6.5 million of these charges related to the Company’s engineered machine tool business restructuring program, which was initiated in the third quarter of 2002, and included personnel termination charges and other exit costs in the Company’s former Heat Transfer business segment. (For a more detailed discussion of the Company’s 2002 restructuring programs, see “Results of Operations — Year Ended December 31, 2002 Compared to Year Ended December 31, 2001 — </w:t>
      </w:r>
      <w:r>
        <w:rPr>
          <w:rFonts w:ascii="Arial" w:cs="Arial" w:eastAsia="Arial" w:hAnsi="Arial"/>
          <w:sz w:val="14"/>
          <w:szCs w:val="14"/>
          <w:i w:val="1"/>
          <w:iCs w:val="1"/>
          <w:color w:val="auto"/>
        </w:rPr>
        <w:t>Restructurings</w:t>
      </w:r>
      <w:r>
        <w:rPr>
          <w:rFonts w:ascii="Arial" w:cs="Arial" w:eastAsia="Arial" w:hAnsi="Arial"/>
          <w:sz w:val="14"/>
          <w:szCs w:val="14"/>
          <w:color w:val="auto"/>
        </w:rPr>
        <w:t>.”)</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Interest Expense, Net</w:t>
      </w:r>
    </w:p>
    <w:p>
      <w:pPr>
        <w:spacing w:after="0" w:line="222" w:lineRule="exact"/>
        <w:rPr>
          <w:sz w:val="20"/>
          <w:szCs w:val="20"/>
          <w:color w:val="auto"/>
        </w:rPr>
      </w:pPr>
    </w:p>
    <w:p>
      <w:pPr>
        <w:ind w:right="60" w:firstLine="286"/>
        <w:spacing w:after="0" w:line="254" w:lineRule="auto"/>
        <w:rPr>
          <w:sz w:val="20"/>
          <w:szCs w:val="20"/>
          <w:color w:val="auto"/>
        </w:rPr>
      </w:pPr>
      <w:r>
        <w:rPr>
          <w:rFonts w:ascii="Arial" w:cs="Arial" w:eastAsia="Arial" w:hAnsi="Arial"/>
          <w:sz w:val="16"/>
          <w:szCs w:val="16"/>
          <w:color w:val="auto"/>
        </w:rPr>
        <w:t>Interest expense, net, for the year ended December 31, 2003 decreased $3.3 million, or 10.4%, from $31.8 million for the year ended December 31, 2002. The lower interest expense resulted from lower average debt levels partially offset by marginally higher average interest rates due to a higher proportion of fixed rate debt. The average interest rates on the Company’s fixed rate debt are higher than the average interest rates on the Company’s variable rate debt. As of December 31, 2003, total debt of $362.3 million was $17.6 million lower than total debt as of December 31, 2002.</w:t>
      </w:r>
    </w:p>
    <w:p>
      <w:pPr>
        <w:spacing w:after="0" w:line="39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Other Expense (Income)</w:t>
      </w:r>
    </w:p>
    <w:p>
      <w:pPr>
        <w:spacing w:after="0" w:line="222" w:lineRule="exact"/>
        <w:rPr>
          <w:sz w:val="20"/>
          <w:szCs w:val="20"/>
          <w:color w:val="auto"/>
        </w:rPr>
      </w:pPr>
    </w:p>
    <w:p>
      <w:pPr>
        <w:ind w:firstLine="286"/>
        <w:spacing w:after="0" w:line="336" w:lineRule="auto"/>
        <w:rPr>
          <w:sz w:val="20"/>
          <w:szCs w:val="20"/>
          <w:color w:val="auto"/>
        </w:rPr>
      </w:pPr>
      <w:r>
        <w:rPr>
          <w:rFonts w:ascii="Arial" w:cs="Arial" w:eastAsia="Arial" w:hAnsi="Arial"/>
          <w:sz w:val="14"/>
          <w:szCs w:val="14"/>
          <w:color w:val="auto"/>
        </w:rPr>
        <w:t>Other expense (income) was income of $2.5 million for the year ended December 31, 2003 compared to income of $0.8 million last year. Other expense (income) includes foreign currency exchange gains, which relate principally to the Company’s operations in Canada, Australia and Europe, and expenses related to minority interest holders.</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Provision for Income Taxes</w:t>
      </w:r>
    </w:p>
    <w:p>
      <w:pPr>
        <w:spacing w:after="0" w:line="222" w:lineRule="exact"/>
        <w:rPr>
          <w:sz w:val="20"/>
          <w:szCs w:val="20"/>
          <w:color w:val="auto"/>
        </w:rPr>
      </w:pPr>
    </w:p>
    <w:p>
      <w:pPr>
        <w:ind w:right="60" w:firstLine="286"/>
        <w:spacing w:after="0" w:line="310" w:lineRule="auto"/>
        <w:rPr>
          <w:sz w:val="20"/>
          <w:szCs w:val="20"/>
          <w:color w:val="auto"/>
        </w:rPr>
      </w:pPr>
      <w:r>
        <w:rPr>
          <w:rFonts w:ascii="Arial" w:cs="Arial" w:eastAsia="Arial" w:hAnsi="Arial"/>
          <w:sz w:val="14"/>
          <w:szCs w:val="14"/>
          <w:color w:val="auto"/>
        </w:rPr>
        <w:t>The provision for income taxes was $45.3 million for the year ended December 31, 2003 compared to $34.2 million for the year ended December 31, 2002. The effective tax rate was 34.9% for the year ended December 31, 2003 compared to 44.4% for the year ended December 31, 2002. This effective rate differs from the statutory federal rate of 35% principally due to state and local taxes, non-deductible expenses, foreign operating losses for which no tax benefits have been recognized and foreign taxes at rates other than 35%.</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Cumulative Effect of Accounting Change</w:t>
      </w:r>
    </w:p>
    <w:p>
      <w:pPr>
        <w:spacing w:after="0" w:line="222" w:lineRule="exact"/>
        <w:rPr>
          <w:sz w:val="20"/>
          <w:szCs w:val="20"/>
          <w:color w:val="auto"/>
        </w:rPr>
      </w:pPr>
    </w:p>
    <w:p>
      <w:pPr>
        <w:ind w:right="140" w:firstLine="286"/>
        <w:spacing w:after="0" w:line="336" w:lineRule="auto"/>
        <w:rPr>
          <w:sz w:val="20"/>
          <w:szCs w:val="20"/>
          <w:color w:val="auto"/>
        </w:rPr>
      </w:pPr>
      <w:r>
        <w:rPr>
          <w:rFonts w:ascii="Arial" w:cs="Arial" w:eastAsia="Arial" w:hAnsi="Arial"/>
          <w:sz w:val="14"/>
          <w:szCs w:val="14"/>
          <w:color w:val="auto"/>
        </w:rPr>
        <w:t>The cumulative effect of accounting change represents an after-tax, non-cash, goodwill impairment charge of $247.9 million for the year ended December 31, 2002. This charge resulted from the adoption of SFAS No. 142 which became effective January 1, 2002 and requires that goodwill and other intangible assets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60"/>
          </w:cols>
          <w:pgMar w:left="240" w:top="386" w:right="29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with an indefinite useful life no longer be amortized as expenses of operations, but rather be tested for impairment upon adoption and, at least annually, by applying a fair-value-based test. During the first quarter of 2002, LII conducted such fair-value-based tests and recorded a pre-tax goodwill impairment charge of $283.7 million. The charge primarily relates to the Company’s Service Experts and Residential Heating &amp; Cooling business segments. The tax benefit of this charge was $35.8 million. During the first quarter of 2003, LII performed its annual goodwill impairment test and determined that no further goodwill impairment charge was necessary.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Year Ended December 31, 2002 Compared to Year Ended December 31, 2001</w:t>
      </w:r>
    </w:p>
    <w:p>
      <w:pPr>
        <w:spacing w:after="0" w:line="222" w:lineRule="exact"/>
        <w:rPr>
          <w:sz w:val="20"/>
          <w:szCs w:val="20"/>
          <w:color w:val="auto"/>
        </w:rPr>
      </w:pPr>
    </w:p>
    <w:p>
      <w:pPr>
        <w:ind w:right="160" w:firstLine="286"/>
        <w:spacing w:after="0" w:line="256" w:lineRule="auto"/>
        <w:rPr>
          <w:sz w:val="20"/>
          <w:szCs w:val="20"/>
          <w:color w:val="auto"/>
        </w:rPr>
      </w:pPr>
      <w:r>
        <w:rPr>
          <w:rFonts w:ascii="Arial" w:cs="Arial" w:eastAsia="Arial" w:hAnsi="Arial"/>
          <w:sz w:val="16"/>
          <w:szCs w:val="16"/>
          <w:i w:val="1"/>
          <w:iCs w:val="1"/>
          <w:color w:val="auto"/>
        </w:rPr>
        <w:t>The Results of Operations have been revised to reflect the restatement of the Company’s Consolidated Financial Statements for the year ended December 31, 2002. For more information, see “Restatement of Previously-Issued Financial Statements” located at the beginning of the MD&amp;A as well as Note 3 titled “Restatement of 2002 Financial Statements and Additional Information for 2003” in the Notes to Consolidated Financial Statements.</w:t>
      </w:r>
    </w:p>
    <w:p>
      <w:pPr>
        <w:spacing w:after="0" w:line="198" w:lineRule="exact"/>
        <w:rPr>
          <w:sz w:val="20"/>
          <w:szCs w:val="20"/>
          <w:color w:val="auto"/>
        </w:rPr>
      </w:pPr>
    </w:p>
    <w:p>
      <w:pPr>
        <w:ind w:right="80" w:firstLine="286"/>
        <w:spacing w:after="0" w:line="286" w:lineRule="auto"/>
        <w:rPr>
          <w:sz w:val="20"/>
          <w:szCs w:val="20"/>
          <w:color w:val="auto"/>
        </w:rPr>
      </w:pPr>
      <w:r>
        <w:rPr>
          <w:rFonts w:ascii="Arial" w:cs="Arial" w:eastAsia="Arial" w:hAnsi="Arial"/>
          <w:sz w:val="14"/>
          <w:szCs w:val="14"/>
          <w:color w:val="auto"/>
        </w:rPr>
        <w:t>The Company adopted Emerging Issues Task Force (“EITF”) Issue 01-9, “Accounting for Consideration Given by a Vendor to a Customer or a Reseller of the Vendor’s Products” (“EITF 01-9”), issued by the EITF in November 2001. EITF 01-9 addressed various issues related to the income statement classification of certain promotional payments, including consideration from a vendor to a reseller or another party that purchases the vendor’s products. As a result of adopting EITF 01-9 in 2002, the Company restated prior year net sales, cost of goods sold and selling, general and administrative (“SG&amp;A”) expense. The adoption of EITF 01-9 decreased net sales by $6.0 million; increased cost of goods sold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$1.4 million and decreased SG&amp;A expenses by $7.4 million for the year ended December 31, 2001.</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Net Sales</w:t>
      </w:r>
    </w:p>
    <w:p>
      <w:pPr>
        <w:spacing w:after="0" w:line="222" w:lineRule="exact"/>
        <w:rPr>
          <w:sz w:val="20"/>
          <w:szCs w:val="20"/>
          <w:color w:val="auto"/>
        </w:rPr>
      </w:pPr>
    </w:p>
    <w:p>
      <w:pPr>
        <w:ind w:right="160" w:firstLine="286"/>
        <w:spacing w:after="0" w:line="297" w:lineRule="auto"/>
        <w:rPr>
          <w:sz w:val="20"/>
          <w:szCs w:val="20"/>
          <w:color w:val="auto"/>
        </w:rPr>
      </w:pPr>
      <w:r>
        <w:rPr>
          <w:rFonts w:ascii="Arial" w:cs="Arial" w:eastAsia="Arial" w:hAnsi="Arial"/>
          <w:sz w:val="14"/>
          <w:szCs w:val="14"/>
          <w:color w:val="auto"/>
        </w:rPr>
        <w:t xml:space="preserve">Net sales decreased $89.0 million, or 2.9%, to $3,024.6 million for the year ended December 31, 2002 from $3,113.6 million for the comparable period in 2001. Adjusted for the favorable impact of foreign currency translation, net sales declined 3.2% compared to the same period in 2001. The sales decline was attributable to lower sales in the Company’s Service Experts and Commercial Heating &amp; Cooling segments, the wind-down of the Company’s engineering business (see </w:t>
      </w:r>
      <w:r>
        <w:rPr>
          <w:rFonts w:ascii="Arial" w:cs="Arial" w:eastAsia="Arial" w:hAnsi="Arial"/>
          <w:sz w:val="14"/>
          <w:szCs w:val="14"/>
          <w:i w:val="1"/>
          <w:iCs w:val="1"/>
          <w:color w:val="auto"/>
        </w:rPr>
        <w:t>“Restructurings”</w:t>
      </w:r>
      <w:r>
        <w:rPr>
          <w:rFonts w:ascii="Arial" w:cs="Arial" w:eastAsia="Arial" w:hAnsi="Arial"/>
          <w:sz w:val="14"/>
          <w:szCs w:val="14"/>
          <w:color w:val="auto"/>
        </w:rPr>
        <w:t>) and the absence of sales (September 2002 through December 2002) from the Company’s former Heat Transfer business segment, 55% of which was sold to Outokumpu during the third quarter of 2002. The Company currently reports the historical results of operations of its former Heat Transfer business segment in the “Corporate and other” business segment.</w:t>
      </w:r>
    </w:p>
    <w:p>
      <w:pPr>
        <w:spacing w:after="0" w:line="173" w:lineRule="exact"/>
        <w:rPr>
          <w:sz w:val="20"/>
          <w:szCs w:val="20"/>
          <w:color w:val="auto"/>
        </w:rPr>
      </w:pPr>
    </w:p>
    <w:p>
      <w:pPr>
        <w:ind w:firstLine="286"/>
        <w:spacing w:after="0" w:line="252" w:lineRule="auto"/>
        <w:rPr>
          <w:sz w:val="20"/>
          <w:szCs w:val="20"/>
          <w:color w:val="auto"/>
        </w:rPr>
      </w:pPr>
      <w:r>
        <w:rPr>
          <w:rFonts w:ascii="Arial" w:cs="Arial" w:eastAsia="Arial" w:hAnsi="Arial"/>
          <w:sz w:val="16"/>
          <w:szCs w:val="16"/>
          <w:color w:val="auto"/>
        </w:rPr>
        <w:t>Net sales in the Residential Heating &amp; Cooling segment increased $54.0 million, or 4.5%, to $1,249.1 million for the year ended December 31, 2002 from $1,195.1 million for the year ended December 31, 2001. Adjusted for the impact of foreign currency translation, net sales increased 4.7%, or $55.9 million, compared to 2001. The North American market for residential air conditioners, heat pumps and gas furnaces increased industry-wide through December 2002 as compared to the prior year, due primarily to favorable weather during the cooling season. Net sales of the Company’s Lennox- and Ducane-branded products, as well as evaporator coils from its Advanced Distributor Products unit, were particularly strong for the twelve months ended December 31, 2002.</w:t>
      </w:r>
    </w:p>
    <w:p>
      <w:pPr>
        <w:spacing w:after="0" w:line="203" w:lineRule="exact"/>
        <w:rPr>
          <w:sz w:val="20"/>
          <w:szCs w:val="20"/>
          <w:color w:val="auto"/>
        </w:rPr>
      </w:pPr>
    </w:p>
    <w:p>
      <w:pPr>
        <w:ind w:right="220" w:firstLine="286"/>
        <w:spacing w:after="0" w:line="252" w:lineRule="auto"/>
        <w:rPr>
          <w:sz w:val="20"/>
          <w:szCs w:val="20"/>
          <w:color w:val="auto"/>
        </w:rPr>
      </w:pPr>
      <w:r>
        <w:rPr>
          <w:rFonts w:ascii="Arial" w:cs="Arial" w:eastAsia="Arial" w:hAnsi="Arial"/>
          <w:sz w:val="16"/>
          <w:szCs w:val="16"/>
          <w:color w:val="auto"/>
        </w:rPr>
        <w:t>Net sales in the Commercial Heating &amp; Cooling segment decreased $27.6 million, or 5.9%, to $442.4 million for the year ended December 31, 2002 compared to the prior year. The sales decrease was 7.4% after adjusting for the impact of foreign currency exchange. The decline was due primarily to lower demand levels for commercial air conditioning equipment in North America as well as the absence of sales from the Company’s Australian commercial air conditioning operations, which were exited during the second quarter of 2002. North American industry shipments of unitary commercial HVAC equipment were down in 2002 as compared to 2001. Lower demand in Europe also contributed to the sales decline.</w:t>
      </w:r>
    </w:p>
    <w:p>
      <w:pPr>
        <w:spacing w:after="0" w:line="203" w:lineRule="exact"/>
        <w:rPr>
          <w:sz w:val="20"/>
          <w:szCs w:val="20"/>
          <w:color w:val="auto"/>
        </w:rPr>
      </w:pPr>
    </w:p>
    <w:p>
      <w:pPr>
        <w:ind w:right="380" w:firstLine="286"/>
        <w:spacing w:after="0" w:line="336" w:lineRule="auto"/>
        <w:rPr>
          <w:sz w:val="20"/>
          <w:szCs w:val="20"/>
          <w:color w:val="auto"/>
        </w:rPr>
      </w:pPr>
      <w:r>
        <w:rPr>
          <w:rFonts w:ascii="Arial" w:cs="Arial" w:eastAsia="Arial" w:hAnsi="Arial"/>
          <w:sz w:val="14"/>
          <w:szCs w:val="14"/>
          <w:color w:val="auto"/>
        </w:rPr>
        <w:t>Net sales in the Service Experts segment were $942.6 million for the year ended December 31, 2002, a decrease of $60.0 million, or 6.0%, from $1,002.6 million for the year ended December 31, 2001. The sales decline was 5.7% after adjusting for the impact of foreign currency exchange. On a same-store basis, after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adjusting for sold or closed service centers in connection with a restructuring program announced in 2001, net sales in the Service Experts segment declined 3.6% in 2002 compared to 2001. As a result of this restructuring program, the primary operating focus of this segment in 2002 was improving operating efficiency through cost reduction programs, expense control initiatives and reductions in personnel.</w:t>
      </w:r>
    </w:p>
    <w:p>
      <w:pPr>
        <w:spacing w:after="0" w:line="198" w:lineRule="exact"/>
        <w:rPr>
          <w:sz w:val="20"/>
          <w:szCs w:val="20"/>
          <w:color w:val="auto"/>
        </w:rPr>
      </w:pPr>
    </w:p>
    <w:p>
      <w:pPr>
        <w:ind w:right="180" w:firstLine="286"/>
        <w:spacing w:after="0" w:line="288" w:lineRule="auto"/>
        <w:rPr>
          <w:sz w:val="20"/>
          <w:szCs w:val="20"/>
          <w:color w:val="auto"/>
        </w:rPr>
      </w:pPr>
      <w:r>
        <w:rPr>
          <w:rFonts w:ascii="Arial" w:cs="Arial" w:eastAsia="Arial" w:hAnsi="Arial"/>
          <w:sz w:val="14"/>
          <w:szCs w:val="14"/>
          <w:color w:val="auto"/>
        </w:rPr>
        <w:t>Refrigeration segment net sales increased $15.7 million, or 4.5%, to $363.8 million for the year ended December 31, 2002 compared to the prior year. After adjusting for the impact of foreign currency exchange, the sales increase was 2.4%. A sustained strengthening order rate for commercial refrigeration equipment in the Company’s domestic and Asia</w:t>
      </w:r>
    </w:p>
    <w:p>
      <w:pPr>
        <w:spacing w:after="0" w:line="1" w:lineRule="exact"/>
        <w:rPr>
          <w:sz w:val="20"/>
          <w:szCs w:val="20"/>
          <w:color w:val="auto"/>
        </w:rPr>
      </w:pPr>
    </w:p>
    <w:p>
      <w:pPr>
        <w:ind w:right="320"/>
        <w:spacing w:after="0" w:line="245" w:lineRule="auto"/>
        <w:rPr>
          <w:sz w:val="20"/>
          <w:szCs w:val="20"/>
          <w:color w:val="auto"/>
        </w:rPr>
      </w:pPr>
      <w:r>
        <w:rPr>
          <w:rFonts w:ascii="Arial" w:cs="Arial" w:eastAsia="Arial" w:hAnsi="Arial"/>
          <w:sz w:val="14"/>
          <w:szCs w:val="14"/>
          <w:color w:val="auto"/>
        </w:rPr>
        <w:t>Pacific operations resulted in higher net sales in 2002. In the U.S., LII improved market share in this segment in part due to the successful launch of the Pro</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package refrigeration units. Eleven new product platforms were introduced in 2002, with approximately one-third of net sales derived from products introduced in the past three years.</w:t>
      </w:r>
    </w:p>
    <w:p>
      <w:pPr>
        <w:spacing w:after="0" w:line="204" w:lineRule="exact"/>
        <w:rPr>
          <w:sz w:val="20"/>
          <w:szCs w:val="20"/>
          <w:color w:val="auto"/>
        </w:rPr>
      </w:pPr>
    </w:p>
    <w:p>
      <w:pPr>
        <w:ind w:right="40" w:firstLine="286"/>
        <w:spacing w:after="0" w:line="310" w:lineRule="auto"/>
        <w:rPr>
          <w:sz w:val="20"/>
          <w:szCs w:val="20"/>
          <w:color w:val="auto"/>
        </w:rPr>
      </w:pPr>
      <w:r>
        <w:rPr>
          <w:rFonts w:ascii="Arial" w:cs="Arial" w:eastAsia="Arial" w:hAnsi="Arial"/>
          <w:sz w:val="14"/>
          <w:szCs w:val="14"/>
          <w:color w:val="auto"/>
        </w:rPr>
        <w:t>Corporate and other segment revenues declined $71.2 million, or 35.6%, to $129.3 million for the year ended December 31, 2002 compared to the year ended December 31, 2001. The “Corporate and other” segment net sales primarily consists of the historical results of the Company’s former Heat Transfer segment, 55% of which was sold to Outokumpu in August 2002. As a result, the sales decline was primarily attributable to the absence of sales from this segment during the last four months of 2002.</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Gross Profit</w:t>
      </w:r>
    </w:p>
    <w:p>
      <w:pPr>
        <w:spacing w:after="0" w:line="222" w:lineRule="exact"/>
        <w:rPr>
          <w:sz w:val="20"/>
          <w:szCs w:val="20"/>
          <w:color w:val="auto"/>
        </w:rPr>
      </w:pPr>
    </w:p>
    <w:p>
      <w:pPr>
        <w:ind w:firstLine="286"/>
        <w:spacing w:after="0" w:line="294" w:lineRule="auto"/>
        <w:rPr>
          <w:sz w:val="20"/>
          <w:szCs w:val="20"/>
          <w:color w:val="auto"/>
        </w:rPr>
      </w:pPr>
      <w:r>
        <w:rPr>
          <w:rFonts w:ascii="Arial" w:cs="Arial" w:eastAsia="Arial" w:hAnsi="Arial"/>
          <w:sz w:val="14"/>
          <w:szCs w:val="14"/>
          <w:color w:val="auto"/>
        </w:rPr>
        <w:t>Gross profit was $947.0 million for the year ended December 31, 2002 compared to $914.4 million for the year ended December 31, 2001, an increase of $32.6 million. Gross profit margin improved 1.9% to 31.3% for the year ended December 31, 2002 from 29.4% for the comparable period in the prior year. Gross profit margin in the Company’s Service Experts segment improved 2.1% in 2002 compared to 2001 due primarily to direct labor personnel reductions and increased productivity of existing direct labor personnel. Service Experts direct labor personnel reductions were made in connection with a restructuring program announced in 2001 as well as efforts to staff individual service centers to match market demand. The gross profit margin improvement was also due to factory efficiencies, particularly in the areas of labor utilization, purchasing savings and lower overhead. LIFO (last in, first out) inventory liquidations did not have a material impact on gross margins.</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Selling, General and Administrative Expense</w:t>
      </w:r>
    </w:p>
    <w:p>
      <w:pPr>
        <w:spacing w:after="0" w:line="222" w:lineRule="exact"/>
        <w:rPr>
          <w:sz w:val="20"/>
          <w:szCs w:val="20"/>
          <w:color w:val="auto"/>
        </w:rPr>
      </w:pPr>
    </w:p>
    <w:p>
      <w:pPr>
        <w:ind w:firstLine="286"/>
        <w:spacing w:after="0" w:line="291" w:lineRule="auto"/>
        <w:rPr>
          <w:sz w:val="20"/>
          <w:szCs w:val="20"/>
          <w:color w:val="auto"/>
        </w:rPr>
      </w:pPr>
      <w:r>
        <w:rPr>
          <w:rFonts w:ascii="Arial" w:cs="Arial" w:eastAsia="Arial" w:hAnsi="Arial"/>
          <w:sz w:val="14"/>
          <w:szCs w:val="14"/>
          <w:color w:val="auto"/>
        </w:rPr>
        <w:t>SG&amp;A expenses were $839.0 million for the year ended December 31, 2002, a decrease of $10.7 million, or 1.3%, from $849.7 million for the year ended December 31, 2001. As a percentage of total revenues, SG&amp;A expenses increased to 27.7% for the year ended December 31, 2002 from 27.3% for the year ended December 31, 2001. SG&amp;A expenses for 2001 included $18.6 million of goodwill and trademark amortization, which has been discontinued with the adoption of SFAS No. 142 on January 1, 2002. Bad debt expense, which is driven largely by overall economic conditions, totaled $9.8 million and $15.8 million for the twelve-month periods ended December 31, 2002 and 2001, respectively. The bad debt expense was higher in 2001 as it included specific reserves for two customers totaling $4.2 million. The Company has no significant concentration of credit risk among its diversified customer base. Partially offsetting the favorable bad debt expense variance and absence of goodwill and trademark amortization in 2002 were the inclusion of a cumulative unfavorable adjustment of $5.9 million for years prior to 2002 in connection with the internal inquiry within the Company’s Service Experts business segment as discussed previously (see “Restatement of Previously–Issued Financial Statements” located at the beginning of MD&amp;A); higher profit sharing and incentive programs expenses, driven primarily by improved financial performance; and higher insurance costs.</w:t>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Restructurings</w:t>
      </w:r>
    </w:p>
    <w:p>
      <w:pPr>
        <w:spacing w:after="0" w:line="222" w:lineRule="exact"/>
        <w:rPr>
          <w:sz w:val="20"/>
          <w:szCs w:val="20"/>
          <w:color w:val="auto"/>
        </w:rPr>
      </w:pPr>
    </w:p>
    <w:p>
      <w:pPr>
        <w:ind w:right="40" w:firstLine="286"/>
        <w:spacing w:after="0" w:line="264" w:lineRule="auto"/>
        <w:rPr>
          <w:sz w:val="20"/>
          <w:szCs w:val="20"/>
          <w:color w:val="auto"/>
        </w:rPr>
      </w:pPr>
      <w:r>
        <w:rPr>
          <w:rFonts w:ascii="Arial" w:cs="Arial" w:eastAsia="Arial" w:hAnsi="Arial"/>
          <w:sz w:val="16"/>
          <w:szCs w:val="16"/>
          <w:color w:val="auto"/>
        </w:rPr>
        <w:t>During 2001, the Company undertook separate restructuring initiatives of its Service Experts operations and certain of its manufacturing and distribution operations. During 2002, the Company undertook an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additional restructuring initiative of its non-core Heat Transfer engineering business. The three initiatives are as follows:</w:t>
      </w:r>
    </w:p>
    <w:p>
      <w:pPr>
        <w:spacing w:after="0" w:line="222" w:lineRule="exact"/>
        <w:rPr>
          <w:sz w:val="20"/>
          <w:szCs w:val="20"/>
          <w:color w:val="auto"/>
        </w:rPr>
      </w:pPr>
    </w:p>
    <w:p>
      <w:pPr>
        <w:ind w:left="1040" w:hanging="657"/>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Retail Restructuring Program</w:t>
      </w:r>
    </w:p>
    <w:p>
      <w:pPr>
        <w:spacing w:after="0" w:line="222" w:lineRule="exact"/>
        <w:rPr>
          <w:sz w:val="20"/>
          <w:szCs w:val="20"/>
          <w:color w:val="auto"/>
        </w:rPr>
      </w:pPr>
    </w:p>
    <w:p>
      <w:pPr>
        <w:ind w:left="340" w:right="40" w:firstLine="286"/>
        <w:spacing w:after="0" w:line="288" w:lineRule="auto"/>
        <w:rPr>
          <w:sz w:val="20"/>
          <w:szCs w:val="20"/>
          <w:color w:val="auto"/>
        </w:rPr>
      </w:pPr>
      <w:r>
        <w:rPr>
          <w:rFonts w:ascii="Arial" w:cs="Arial" w:eastAsia="Arial" w:hAnsi="Arial"/>
          <w:sz w:val="14"/>
          <w:szCs w:val="14"/>
          <w:color w:val="auto"/>
        </w:rPr>
        <w:t>In the second quarter of 2001, the Company recorded a pre-tax restructuring charge of $38.0 million ($25.6 million, net of tax), which covered the selling, closing or merging of 38 company-owned dealer service centers in the Company’s Service Experts segment. The $38.0 million pre-tax restructuring charge included inventory impairments of</w:t>
      </w:r>
    </w:p>
    <w:p>
      <w:pPr>
        <w:spacing w:after="0" w:line="1" w:lineRule="exact"/>
        <w:rPr>
          <w:sz w:val="20"/>
          <w:szCs w:val="20"/>
          <w:color w:val="auto"/>
        </w:rPr>
      </w:pPr>
    </w:p>
    <w:p>
      <w:pPr>
        <w:ind w:left="340" w:right="80"/>
        <w:spacing w:after="0" w:line="299" w:lineRule="auto"/>
        <w:rPr>
          <w:sz w:val="20"/>
          <w:szCs w:val="20"/>
          <w:color w:val="auto"/>
        </w:rPr>
      </w:pPr>
      <w:r>
        <w:rPr>
          <w:rFonts w:ascii="Arial" w:cs="Arial" w:eastAsia="Arial" w:hAnsi="Arial"/>
          <w:sz w:val="14"/>
          <w:szCs w:val="14"/>
          <w:color w:val="auto"/>
        </w:rPr>
        <w:t>$3.4 million in cost of goods sold. These centers were either under-performing financially, located in geographical areas requiring disproportionate management effort or focused on non-HVAC activities. The major actions of the plan consisted of employee terminations, closure, sale or merger of dealer service centers and completion of in-process commercial construction jobs, all of which have been completed, with long-term lease and other exit cost payments continuing into 2003. The revenue and net operating loss of the service centers sold, closed or merged as part of the Retail Restructuring Program were $24.5 million and $3.9 million, respectively, for the year ended December 31, 2001.</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$38.0 million pre-tax charge for the Retail Restructuring Program consisted of $4.8 million of severance and benefit charges, $12.3 million of other exit costs and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$20.9 million of asset impairments. The asset impairments in the restructuring charge included $6.6 million for long-lived assets, principally property, plant and equipment used in</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operations of the closed service centers, $5.7 million in goodwill, $3.4 million for inventory write-downs and $5.2 million in accounts receivable. The accounts receivable and</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inventory write-downs were recorded in conjunction with the restructuring since the decisions to close the operations directly impacted the net realizable value of the related</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The inventory write-downs totaling $3.4 million were included in cost of goods sold.</w:t>
      </w:r>
    </w:p>
    <w:p>
      <w:pPr>
        <w:spacing w:after="0" w:line="240" w:lineRule="exact"/>
        <w:rPr>
          <w:sz w:val="20"/>
          <w:szCs w:val="20"/>
          <w:color w:val="auto"/>
        </w:rPr>
      </w:pPr>
    </w:p>
    <w:p>
      <w:pPr>
        <w:jc w:val="both"/>
        <w:ind w:left="340" w:right="60" w:firstLine="286"/>
        <w:spacing w:after="0" w:line="310" w:lineRule="auto"/>
        <w:rPr>
          <w:sz w:val="20"/>
          <w:szCs w:val="20"/>
          <w:color w:val="auto"/>
        </w:rPr>
      </w:pPr>
      <w:r>
        <w:rPr>
          <w:rFonts w:ascii="Arial" w:cs="Arial" w:eastAsia="Arial" w:hAnsi="Arial"/>
          <w:sz w:val="14"/>
          <w:szCs w:val="14"/>
          <w:color w:val="auto"/>
        </w:rPr>
        <w:t>Through December 2002, the Company made cash payments of $15.4 million under this program. These payments included $2.9 million for severance and benefit payments and $12.5 million for other exit costs payments. The Company made cash expenditures of $3.6 million for other exit costs in 2003. The improvement in net operating income due to the elimination of net operating losses of service centers sold, closed or merged under this restructuring program was $3.9 million for the year ended December 31, 2002.</w:t>
      </w:r>
    </w:p>
    <w:p>
      <w:pPr>
        <w:spacing w:after="0" w:line="354" w:lineRule="exact"/>
        <w:rPr>
          <w:sz w:val="20"/>
          <w:szCs w:val="20"/>
          <w:color w:val="auto"/>
        </w:rPr>
      </w:pPr>
    </w:p>
    <w:p>
      <w:pPr>
        <w:ind w:left="1040" w:hanging="657"/>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Manufacturing and Distribution Restructuring Program</w:t>
      </w:r>
    </w:p>
    <w:p>
      <w:pPr>
        <w:spacing w:after="0" w:line="222" w:lineRule="exact"/>
        <w:rPr>
          <w:sz w:val="20"/>
          <w:szCs w:val="20"/>
          <w:color w:val="auto"/>
        </w:rPr>
      </w:pPr>
    </w:p>
    <w:p>
      <w:pPr>
        <w:ind w:left="340" w:right="120" w:firstLine="286"/>
        <w:spacing w:after="0" w:line="297" w:lineRule="auto"/>
        <w:rPr>
          <w:sz w:val="20"/>
          <w:szCs w:val="20"/>
          <w:color w:val="auto"/>
        </w:rPr>
      </w:pPr>
      <w:r>
        <w:rPr>
          <w:rFonts w:ascii="Arial" w:cs="Arial" w:eastAsia="Arial" w:hAnsi="Arial"/>
          <w:sz w:val="14"/>
          <w:szCs w:val="14"/>
          <w:color w:val="auto"/>
        </w:rPr>
        <w:t>In the fourth quarter of 2001, the Company recorded pre-tax restructuring charges totaling $35.2 million ($31.0 million, net of tax) for severance and other exit costs that resulted from the Company’s decision to sell or abandon certain manufacturing and distribution operations. The $35.2 million pre-tax restructuring charge included inventory impairments of $4.4 million in cost of goods sold. The major actions included in the plan were the closing of a domestic distribution facility, the Company’s Mexico sales office, manufacturing plants in Canada, Australia and Europe, and the disposal of other non-core Heat Transfer businesses. The revenue and net operating loss of separately identifiable operations were $36.3 million and $2.3 million, respectively, for the year ended December 31, 2001.</w:t>
      </w:r>
    </w:p>
    <w:p>
      <w:pPr>
        <w:spacing w:after="0" w:line="196" w:lineRule="exact"/>
        <w:rPr>
          <w:sz w:val="20"/>
          <w:szCs w:val="20"/>
          <w:color w:val="auto"/>
        </w:rPr>
      </w:pPr>
    </w:p>
    <w:p>
      <w:pPr>
        <w:ind w:left="340" w:right="40" w:firstLine="286"/>
        <w:spacing w:after="0" w:line="297" w:lineRule="auto"/>
        <w:rPr>
          <w:sz w:val="20"/>
          <w:szCs w:val="20"/>
          <w:color w:val="auto"/>
        </w:rPr>
      </w:pPr>
      <w:r>
        <w:rPr>
          <w:rFonts w:ascii="Arial" w:cs="Arial" w:eastAsia="Arial" w:hAnsi="Arial"/>
          <w:sz w:val="14"/>
          <w:szCs w:val="14"/>
          <w:color w:val="auto"/>
        </w:rPr>
        <w:t>The $35.2 million pre-tax charge for the Manufacturing and Distribution Restructuring Program consisted of $6.0 million of severance and benefit charges, $3.4 million of other exit costs and $25.8 million of asset impairments. The asset impairments in the restructuring charge included $3.7 million for property, plant and equipment written down to the cash expected to be received upon sale or abandonment, if any, $10.9 million in goodwill, $4.4 million for inventory write-downs and $6.8 million in accounts receivable. The accounts receivable and inventory write-downs were recorded in conjunction with the restructuring since the decisions to close the operations directly impacted the net realizable value of the related assets. The inventory write-downs of $4.4 million were included in cost of goods sold.</w:t>
      </w:r>
    </w:p>
    <w:p>
      <w:pPr>
        <w:spacing w:after="0" w:line="196" w:lineRule="exact"/>
        <w:rPr>
          <w:sz w:val="20"/>
          <w:szCs w:val="20"/>
          <w:color w:val="auto"/>
        </w:rPr>
      </w:pPr>
    </w:p>
    <w:p>
      <w:pPr>
        <w:ind w:left="340" w:right="80" w:firstLine="286"/>
        <w:spacing w:after="0" w:line="264" w:lineRule="auto"/>
        <w:rPr>
          <w:sz w:val="20"/>
          <w:szCs w:val="20"/>
          <w:color w:val="auto"/>
        </w:rPr>
      </w:pPr>
      <w:r>
        <w:rPr>
          <w:rFonts w:ascii="Arial" w:cs="Arial" w:eastAsia="Arial" w:hAnsi="Arial"/>
          <w:sz w:val="16"/>
          <w:szCs w:val="16"/>
          <w:color w:val="auto"/>
        </w:rPr>
        <w:t>Through December 2002, the Company made cash payments of $10.0 million under this program. These payments included $7.7 million for severance and benefit payments and $2.3 million for other exit cost payments. During 2003, the Company made cash payments of $2.1 million under this program.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40" w:right="580"/>
        <w:spacing w:after="0" w:line="264" w:lineRule="auto"/>
        <w:rPr>
          <w:sz w:val="20"/>
          <w:szCs w:val="20"/>
          <w:color w:val="auto"/>
        </w:rPr>
      </w:pPr>
      <w:r>
        <w:rPr>
          <w:rFonts w:ascii="Arial" w:cs="Arial" w:eastAsia="Arial" w:hAnsi="Arial"/>
          <w:sz w:val="16"/>
          <w:szCs w:val="16"/>
          <w:color w:val="auto"/>
        </w:rPr>
        <w:t>These payments included $1.3 million for severance and benefit payments and $0.8 million for other exit cost payments. The improvements in net operating income were approximately $6.0 million for the year ended December 31, 2002.</w:t>
      </w:r>
    </w:p>
    <w:p>
      <w:pPr>
        <w:spacing w:after="0" w:line="382" w:lineRule="exact"/>
        <w:rPr>
          <w:sz w:val="20"/>
          <w:szCs w:val="20"/>
          <w:color w:val="auto"/>
        </w:rPr>
      </w:pPr>
    </w:p>
    <w:p>
      <w:pPr>
        <w:ind w:left="1040" w:hanging="657"/>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Engineering Business Restructuring Program</w:t>
      </w:r>
    </w:p>
    <w:p>
      <w:pPr>
        <w:spacing w:after="0" w:line="222" w:lineRule="exact"/>
        <w:rPr>
          <w:sz w:val="20"/>
          <w:szCs w:val="20"/>
          <w:color w:val="auto"/>
        </w:rPr>
      </w:pPr>
    </w:p>
    <w:p>
      <w:pPr>
        <w:ind w:left="340" w:firstLine="286"/>
        <w:spacing w:after="0" w:line="254" w:lineRule="auto"/>
        <w:rPr>
          <w:sz w:val="20"/>
          <w:szCs w:val="20"/>
          <w:color w:val="auto"/>
        </w:rPr>
      </w:pPr>
      <w:r>
        <w:rPr>
          <w:rFonts w:ascii="Arial" w:cs="Arial" w:eastAsia="Arial" w:hAnsi="Arial"/>
          <w:sz w:val="16"/>
          <w:szCs w:val="16"/>
          <w:color w:val="auto"/>
        </w:rPr>
        <w:t>In the third quarter of 2002, the Company recorded a pre-tax restructuring charge of $7.5 million ($5.2 million, net of tax) for inventory impairments, severance and other exit costs that resulted from the Company’s decision to abandon a residual portion of the Heat Transfer business that does not fit with the Company’s strategic focus and was not included in the joint ventures with Outokumpu formed during the third quarter of 2002. The $7.5 million charge included $1.0 million related to inventory write-downs, which has been included in cost of goods sold.</w:t>
      </w:r>
    </w:p>
    <w:p>
      <w:pPr>
        <w:spacing w:after="0" w:line="223" w:lineRule="exact"/>
        <w:rPr>
          <w:sz w:val="20"/>
          <w:szCs w:val="20"/>
          <w:color w:val="auto"/>
        </w:rPr>
      </w:pPr>
    </w:p>
    <w:p>
      <w:pPr>
        <w:jc w:val="both"/>
        <w:ind w:left="340" w:right="240" w:firstLine="286"/>
        <w:spacing w:after="0" w:line="310" w:lineRule="auto"/>
        <w:rPr>
          <w:sz w:val="20"/>
          <w:szCs w:val="20"/>
          <w:color w:val="auto"/>
        </w:rPr>
      </w:pPr>
      <w:r>
        <w:rPr>
          <w:rFonts w:ascii="Arial" w:cs="Arial" w:eastAsia="Arial" w:hAnsi="Arial"/>
          <w:sz w:val="14"/>
          <w:szCs w:val="14"/>
          <w:color w:val="auto"/>
        </w:rPr>
        <w:t>The $7.5 million pre-tax charge for the Engineering Business Restructuring Program consisted of $3.7 million of severance and benefit charges, $2.8 million for other exit costs and $1.0 million of inventory impairment. Actual operating losses in 2002 from this business totaled $6.9 million. The Company completed the wind-down period of this business and recorded an additional operating loss of $1.8 million in 2003. Operating losses from this business are reported in the “Corporate and other” business segment.</w:t>
      </w:r>
    </w:p>
    <w:p>
      <w:pPr>
        <w:spacing w:after="0" w:line="163" w:lineRule="exact"/>
        <w:rPr>
          <w:sz w:val="20"/>
          <w:szCs w:val="20"/>
          <w:color w:val="auto"/>
        </w:rPr>
      </w:pPr>
    </w:p>
    <w:p>
      <w:pPr>
        <w:ind w:right="120" w:firstLine="286"/>
        <w:spacing w:after="0" w:line="293" w:lineRule="auto"/>
        <w:rPr>
          <w:sz w:val="20"/>
          <w:szCs w:val="20"/>
          <w:color w:val="auto"/>
        </w:rPr>
      </w:pPr>
      <w:r>
        <w:rPr>
          <w:rFonts w:ascii="Arial" w:cs="Arial" w:eastAsia="Arial" w:hAnsi="Arial"/>
          <w:sz w:val="14"/>
          <w:szCs w:val="14"/>
          <w:color w:val="auto"/>
        </w:rPr>
        <w:t>In summary, pre-tax restructuring charges for the year ended December 31, 2002 were $7.8 million. Of these charges, $1.3 million stemmed from the Manufacturing and Distribution Restructuring Program and principally included personnel termination charges in the Company’s Residential Heating &amp; Cooling segment, the relocation of production lines, net gains upon disposal of certain impaired assets and restructuring income associated with the subleasing of vacated corporate office lease space. The remaining $6.5 million of these charges stemmed from the Engineering Business Restructuring Program and included personnel termination charges and other exit costs in the Company’s former Heat Transfer business segment. Pre-tax restructuring charges for the year ended December 31, 2001 were $73.2 million, of which $7.8 million was included in cost of goods sold. Of these charges, $38.0 million stemmed from the Retail Restructuring Program ($3.4 million in cost of goods sold) and $35.2 million stemmed from the Manufacturing and Distribution Restructuring Program ($4.4 million in cost of goods sold).</w:t>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(Gains) Losses and Other Expenses</w:t>
      </w:r>
    </w:p>
    <w:p>
      <w:pPr>
        <w:spacing w:after="0" w:line="222" w:lineRule="exact"/>
        <w:rPr>
          <w:sz w:val="20"/>
          <w:szCs w:val="20"/>
          <w:color w:val="auto"/>
        </w:rPr>
      </w:pPr>
    </w:p>
    <w:p>
      <w:pPr>
        <w:ind w:right="40" w:firstLine="286"/>
        <w:spacing w:after="0" w:line="264" w:lineRule="auto"/>
        <w:rPr>
          <w:sz w:val="20"/>
          <w:szCs w:val="20"/>
          <w:color w:val="auto"/>
        </w:rPr>
      </w:pPr>
      <w:r>
        <w:rPr>
          <w:rFonts w:ascii="Arial" w:cs="Arial" w:eastAsia="Arial" w:hAnsi="Arial"/>
          <w:sz w:val="16"/>
          <w:szCs w:val="16"/>
          <w:color w:val="auto"/>
        </w:rPr>
        <w:t>During 2002, LII recognized two events aggregating in a net pre-tax gain of $7.9 million. These events were related to narrowing LII’s strategic focus on its core businesses. These events are detailed as follows:</w:t>
      </w:r>
    </w:p>
    <w:p>
      <w:pPr>
        <w:spacing w:after="0" w:line="382" w:lineRule="exact"/>
        <w:rPr>
          <w:sz w:val="20"/>
          <w:szCs w:val="20"/>
          <w:color w:val="auto"/>
        </w:rPr>
      </w:pPr>
    </w:p>
    <w:p>
      <w:pPr>
        <w:ind w:left="1040" w:hanging="657"/>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Sale of Heat Transfer Business</w:t>
      </w:r>
    </w:p>
    <w:p>
      <w:pPr>
        <w:spacing w:after="0" w:line="222" w:lineRule="exact"/>
        <w:rPr>
          <w:sz w:val="20"/>
          <w:szCs w:val="20"/>
          <w:color w:val="auto"/>
        </w:rPr>
      </w:pPr>
    </w:p>
    <w:p>
      <w:pPr>
        <w:ind w:left="340" w:right="40" w:firstLine="286"/>
        <w:spacing w:after="0" w:line="293" w:lineRule="auto"/>
        <w:rPr>
          <w:sz w:val="20"/>
          <w:szCs w:val="20"/>
          <w:color w:val="auto"/>
        </w:rPr>
      </w:pPr>
      <w:r>
        <w:rPr>
          <w:rFonts w:ascii="Arial" w:cs="Arial" w:eastAsia="Arial" w:hAnsi="Arial"/>
          <w:sz w:val="14"/>
          <w:szCs w:val="14"/>
          <w:color w:val="auto"/>
        </w:rPr>
        <w:t>In August 2002, LII formed joint ventures with Outokumpu. Outokumpu purchased a 55% interest in the Company’s former Heat Transfer business segment in the U.S. and Europe for $55 million in cash and notes, with LII retaining 45% ownership. LII recognized a pre-tax gain on the sale of $23.1 million, subject to post-closing balance sheet audit adjustments. In conjunction with the sale, LII incurred $11.6 million of other charges and expenses. Included in this amount are asset impairments that reduced to zero the carrying value of non-core Heat Transfer assets not included in the sale and that were identified for abandonment in the third quarter of 2002. Additionally, this amount included a pension curtailment in connection with U.S.-based Heat Transfer employees, indemnification of flood losses that occurred at a Heat Transfer manufacturing facility in Prague, Czech Republic in August 2002 and other related transaction expenses. The net after-tax gain on the sale was $6.4 million. LII accounts for its remaining 45% ownership using the equity method of accounting.</w:t>
      </w:r>
    </w:p>
    <w:p>
      <w:pPr>
        <w:spacing w:after="0" w:line="365" w:lineRule="exact"/>
        <w:rPr>
          <w:sz w:val="20"/>
          <w:szCs w:val="20"/>
          <w:color w:val="auto"/>
        </w:rPr>
      </w:pPr>
    </w:p>
    <w:p>
      <w:pPr>
        <w:ind w:left="1040" w:hanging="657"/>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Exit from Commercial HVAC Operations in Argentina</w:t>
      </w:r>
    </w:p>
    <w:p>
      <w:pPr>
        <w:spacing w:after="0" w:line="222" w:lineRule="exact"/>
        <w:rPr>
          <w:sz w:val="20"/>
          <w:szCs w:val="20"/>
          <w:color w:val="auto"/>
        </w:rPr>
      </w:pPr>
    </w:p>
    <w:p>
      <w:pPr>
        <w:ind w:left="340" w:right="560" w:firstLine="286"/>
        <w:spacing w:after="0" w:line="336" w:lineRule="auto"/>
        <w:rPr>
          <w:sz w:val="20"/>
          <w:szCs w:val="20"/>
          <w:color w:val="auto"/>
        </w:rPr>
      </w:pPr>
      <w:r>
        <w:rPr>
          <w:rFonts w:ascii="Arial" w:cs="Arial" w:eastAsia="Arial" w:hAnsi="Arial"/>
          <w:sz w:val="14"/>
          <w:szCs w:val="14"/>
          <w:color w:val="auto"/>
        </w:rPr>
        <w:t>In August 2002, LII sold its 50% ownership interest in its Argentine joint venture. Operationally, this joint venture was under performing, in large part due to volatile economic conditions in Argentina. The Company recognized a pre-tax loss on the sale of $3.6 million. The tax benefit recognized on the loss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sale was $2.4 million resulting in a net after-tax loss of $1.2 million. The proceeds from the sale were immaterial.</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Interest Expense, Net</w:t>
      </w:r>
    </w:p>
    <w:p>
      <w:pPr>
        <w:spacing w:after="0" w:line="222" w:lineRule="exact"/>
        <w:rPr>
          <w:sz w:val="20"/>
          <w:szCs w:val="20"/>
          <w:color w:val="auto"/>
        </w:rPr>
      </w:pPr>
    </w:p>
    <w:p>
      <w:pPr>
        <w:ind w:right="140" w:firstLine="286"/>
        <w:spacing w:after="0" w:line="256" w:lineRule="auto"/>
        <w:rPr>
          <w:sz w:val="20"/>
          <w:szCs w:val="20"/>
          <w:color w:val="auto"/>
        </w:rPr>
      </w:pPr>
      <w:r>
        <w:rPr>
          <w:rFonts w:ascii="Arial" w:cs="Arial" w:eastAsia="Arial" w:hAnsi="Arial"/>
          <w:sz w:val="16"/>
          <w:szCs w:val="16"/>
          <w:color w:val="auto"/>
        </w:rPr>
        <w:t>Interest expense, net, for the year ended December 31, 2002 decreased $11.3 million, or 26.2%, from $43.1 million for the year ended December 31, 2001. The lower interest expense resulted from lower debt levels. Strong cash flow generation in 2002 allowed continued significant progress in paying down debt. At the end of December 2002, total debt of $379.9 million was $137.9 million lower than total debt at December 2001.</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Other Expense (Income)</w:t>
      </w:r>
    </w:p>
    <w:p>
      <w:pPr>
        <w:spacing w:after="0" w:line="222" w:lineRule="exact"/>
        <w:rPr>
          <w:sz w:val="20"/>
          <w:szCs w:val="20"/>
          <w:color w:val="auto"/>
        </w:rPr>
      </w:pPr>
    </w:p>
    <w:p>
      <w:pPr>
        <w:ind w:right="240" w:firstLine="286"/>
        <w:spacing w:after="0" w:line="310" w:lineRule="auto"/>
        <w:rPr>
          <w:sz w:val="20"/>
          <w:szCs w:val="20"/>
          <w:color w:val="auto"/>
        </w:rPr>
      </w:pPr>
      <w:r>
        <w:rPr>
          <w:rFonts w:ascii="Arial" w:cs="Arial" w:eastAsia="Arial" w:hAnsi="Arial"/>
          <w:sz w:val="14"/>
          <w:szCs w:val="14"/>
          <w:color w:val="auto"/>
        </w:rPr>
        <w:t>Other expense (income) was $(0.8) million for the year ended December 31, 2002 and $0.6 million for the year ended December 31, 2001. Other expense (income) is primarily comprised of foreign currency exchange gains or losses, which relate principally to the Company’s operations in Canada, Australia and Europe. Appreciation of Australia’s and Europe’s currencies was primarily responsible for the overall change versus last year. Other expense (income) also includes expenses related to minority interest holders.</w:t>
      </w:r>
    </w:p>
    <w:p>
      <w:pPr>
        <w:spacing w:after="0" w:line="3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Provision for Income Taxes</w:t>
      </w:r>
    </w:p>
    <w:p>
      <w:pPr>
        <w:spacing w:after="0" w:line="222" w:lineRule="exact"/>
        <w:rPr>
          <w:sz w:val="20"/>
          <w:szCs w:val="20"/>
          <w:color w:val="auto"/>
        </w:rPr>
      </w:pPr>
    </w:p>
    <w:p>
      <w:pPr>
        <w:ind w:right="20" w:firstLine="286"/>
        <w:spacing w:after="0" w:line="252" w:lineRule="auto"/>
        <w:rPr>
          <w:sz w:val="20"/>
          <w:szCs w:val="20"/>
          <w:color w:val="auto"/>
        </w:rPr>
      </w:pPr>
      <w:r>
        <w:rPr>
          <w:rFonts w:ascii="Arial" w:cs="Arial" w:eastAsia="Arial" w:hAnsi="Arial"/>
          <w:sz w:val="16"/>
          <w:szCs w:val="16"/>
          <w:color w:val="auto"/>
        </w:rPr>
        <w:t>The provision for income taxes was $34.2 million for the year ended December 31, 2002 compared to a benefit from income taxes of $2.0 million for the year ended December 31, 2001. Excluding the tax benefit resulting from restructuring recognized in 2002 and in 2001, and (gains) losses and other expenses in 2002, the effective tax rate was 47.0% and 50.6% for the years ended December 31, 2002 and December 31, 2001. This rate differs from the statutory federal rate of 35.0% principally due to state and local taxes, non-deductible expenses, foreign operating losses for which no tax benefits have been recognized and foreign taxes at rates other than 35.0%, partially offset by favorable resolution of tax contingencies.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Cumulative Effect of Accounting Change</w:t>
      </w:r>
    </w:p>
    <w:p>
      <w:pPr>
        <w:spacing w:after="0" w:line="222" w:lineRule="exact"/>
        <w:rPr>
          <w:sz w:val="20"/>
          <w:szCs w:val="20"/>
          <w:color w:val="auto"/>
        </w:rPr>
      </w:pPr>
    </w:p>
    <w:p>
      <w:pPr>
        <w:ind w:right="160" w:firstLine="286"/>
        <w:spacing w:after="0" w:line="297" w:lineRule="auto"/>
        <w:rPr>
          <w:sz w:val="20"/>
          <w:szCs w:val="20"/>
          <w:color w:val="auto"/>
        </w:rPr>
      </w:pPr>
      <w:r>
        <w:rPr>
          <w:rFonts w:ascii="Arial" w:cs="Arial" w:eastAsia="Arial" w:hAnsi="Arial"/>
          <w:sz w:val="14"/>
          <w:szCs w:val="14"/>
          <w:color w:val="auto"/>
        </w:rPr>
        <w:t>The cumulative effect of accounting change represents an after-tax, non-cash, goodwill impairment charge of $247.9 million for the year ended December 31, 2002. This charge resulted from the adoption of SFAS No. 142 which became effective January 1, 2002 and requires that goodwill and other intangible assets with an indefinite useful life no longer be amortized as expenses of operations, but rather be tested for impairment upon adoption and, at least annually, by applying a fair-value-based test. During the first quarter of 2002, LII conducted such fair-value-based tests and recorded a pre-tax goodwill impairment charge of $283.7 million. The charge primarily relates to the Company’s Service Experts and Residential Heating &amp; Cooling business segments. The tax benefit of this charge was $35.8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Capital Resources and Off-Balance Sheet Arrangements</w:t>
      </w:r>
    </w:p>
    <w:p>
      <w:pPr>
        <w:spacing w:after="0" w:line="228" w:lineRule="exact"/>
        <w:rPr>
          <w:sz w:val="20"/>
          <w:szCs w:val="20"/>
          <w:color w:val="auto"/>
        </w:rPr>
      </w:pPr>
    </w:p>
    <w:p>
      <w:pPr>
        <w:ind w:firstLine="286"/>
        <w:spacing w:after="0" w:line="336" w:lineRule="auto"/>
        <w:rPr>
          <w:sz w:val="20"/>
          <w:szCs w:val="20"/>
          <w:color w:val="auto"/>
        </w:rPr>
      </w:pPr>
      <w:r>
        <w:rPr>
          <w:rFonts w:ascii="Arial" w:cs="Arial" w:eastAsia="Arial" w:hAnsi="Arial"/>
          <w:sz w:val="14"/>
          <w:szCs w:val="14"/>
          <w:color w:val="auto"/>
        </w:rPr>
        <w:t>Lennox’s working capital and capital expenditure requirements are generally met through internally generated funds, bank lines of credit and a revolving period asset securitization arrangement. Working capital needs are more extensive in the first and second quarter due to the seasonal nature of the Company’s business cycle.</w:t>
      </w:r>
    </w:p>
    <w:p>
      <w:pPr>
        <w:spacing w:after="0" w:line="146" w:lineRule="exact"/>
        <w:rPr>
          <w:sz w:val="20"/>
          <w:szCs w:val="20"/>
          <w:color w:val="auto"/>
        </w:rPr>
      </w:pPr>
    </w:p>
    <w:p>
      <w:pPr>
        <w:ind w:right="20" w:firstLine="286"/>
        <w:spacing w:after="0" w:line="294" w:lineRule="auto"/>
        <w:rPr>
          <w:sz w:val="20"/>
          <w:szCs w:val="20"/>
          <w:color w:val="auto"/>
        </w:rPr>
      </w:pPr>
      <w:r>
        <w:rPr>
          <w:rFonts w:ascii="Arial" w:cs="Arial" w:eastAsia="Arial" w:hAnsi="Arial"/>
          <w:sz w:val="14"/>
          <w:szCs w:val="14"/>
          <w:color w:val="auto"/>
        </w:rPr>
        <w:t>During 2003, LII generated $56.7 million of cash from operations compared to $168.0 million in 2002 and $212.0 million in 2001. Cash from operations during 2003 was negatively impacted by approximately $99.0 million due to reduced utilization of the asset securitization arrangement as of December 31, 2003. Additionally, cash from operations was approximately $20.0 million less in 2003 compared to 2002 due to prior years’ initiatives to reduce overall working capital. Net cash provided by investing activities in 2002 includes $55 million from the Outokumpu JV sales, acquiring a partner’s remaining 14% interest in Heatcraft do Brasil S.A., and proceeds from the sale of the net assets of a distributor in the Residential Heating &amp; Cooling segment. Cash used to fund acquisitions in 2001 amounted to $21.3 million and this consisted primarily of contingent payment considerations on prior Retail acquisitions and similar contingent consideration for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20"/>
        <w:spacing w:after="0" w:line="336" w:lineRule="auto"/>
        <w:rPr>
          <w:sz w:val="20"/>
          <w:szCs w:val="20"/>
          <w:color w:val="auto"/>
        </w:rPr>
      </w:pPr>
      <w:r>
        <w:rPr>
          <w:rFonts w:ascii="Arial" w:cs="Arial" w:eastAsia="Arial" w:hAnsi="Arial"/>
          <w:sz w:val="14"/>
          <w:szCs w:val="14"/>
          <w:color w:val="auto"/>
        </w:rPr>
        <w:t>Kirby company acquisition. Cash used in financing activities in 2002 reflects the Company’s issuance of $143.8 million of 6.25% convertible subordinated notes due 2009 offset by the use of these net proceeds, the cash from the Outokumpu transaction and cash from operations to reduce its indebtedness under its revolving credit facility.</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2003, $28.6 million of cash and cash equivalents were restricted due to outstanding letters of credit.</w:t>
      </w:r>
    </w:p>
    <w:p>
      <w:pPr>
        <w:spacing w:after="0" w:line="222" w:lineRule="exact"/>
        <w:rPr>
          <w:sz w:val="20"/>
          <w:szCs w:val="20"/>
          <w:color w:val="auto"/>
        </w:rPr>
      </w:pPr>
    </w:p>
    <w:p>
      <w:pPr>
        <w:ind w:firstLine="286"/>
        <w:spacing w:after="0" w:line="336" w:lineRule="auto"/>
        <w:rPr>
          <w:sz w:val="20"/>
          <w:szCs w:val="20"/>
          <w:color w:val="auto"/>
        </w:rPr>
      </w:pPr>
      <w:r>
        <w:rPr>
          <w:rFonts w:ascii="Arial" w:cs="Arial" w:eastAsia="Arial" w:hAnsi="Arial"/>
          <w:sz w:val="14"/>
          <w:szCs w:val="14"/>
          <w:color w:val="auto"/>
        </w:rPr>
        <w:t>Capital expenditures of $41.2 million and $23.1 million in 2003 and 2002, respectively, were primarily for production equipment in the manufacturing plants in the Residential Heating &amp; Cooling and Commercial Heating &amp; Cooling business segments. The Company estimates that capital expenditures in 2004 will approximate its annual depreciation expense.</w:t>
      </w:r>
    </w:p>
    <w:p>
      <w:pPr>
        <w:spacing w:after="0" w:line="146" w:lineRule="exact"/>
        <w:rPr>
          <w:sz w:val="20"/>
          <w:szCs w:val="20"/>
          <w:color w:val="auto"/>
        </w:rPr>
      </w:pPr>
    </w:p>
    <w:p>
      <w:pPr>
        <w:ind w:right="220" w:firstLine="286"/>
        <w:spacing w:after="0" w:line="288" w:lineRule="auto"/>
        <w:rPr>
          <w:sz w:val="20"/>
          <w:szCs w:val="20"/>
          <w:color w:val="auto"/>
        </w:rPr>
      </w:pPr>
      <w:r>
        <w:rPr>
          <w:rFonts w:ascii="Arial" w:cs="Arial" w:eastAsia="Arial" w:hAnsi="Arial"/>
          <w:sz w:val="14"/>
          <w:szCs w:val="14"/>
          <w:color w:val="auto"/>
        </w:rPr>
        <w:t>As of December 31, 2003, the Company had outstanding long-term debt obligations totaling $358.7 million, which was down from $370.6 million at December 31, 2002. The amount outstanding as of December 31, 2003 consisted primarily of seven issues of notes with an aggregate principal outstanding of $354.3 million, with interest rates ranging from</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6.25% to 8.0% and with maturities ranging from 2004 to 2010. The Company has bank lines of credit aggregating $275.5 million, of which $6.7 million was borrowed and outstanding, and $65.1 million was committed to standby letters of credit as of December 31, 2003. The remaining $203.7 million was available for future borrowings, subject to covenant limitations. Included in the lines of credit are several regional facilities and a multi-currency facility in the amount of $225 million governed by agreements between the Company and a syndicate of banks. In September 2003, the Company amended its former domestic facility to, among other things, base covenants on the financials of domestic and foreign subsidiaries, extend the facility maturity date to September 2006 and reduce capacity from $270 million to $205 million. In October 2003, the facility capacity was increased to</w:t>
      </w:r>
    </w:p>
    <w:p>
      <w:pPr>
        <w:spacing w:after="0" w:line="2"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$225 million. The facility bears interest, at the Company’s option, at a rate equal to either (a) the greater of the bank’s prime rate or the federal fund’s rate plus 0.5% or (b) the London Interbank Offered Rate plus a margin equal to 1.0% to 2.5%, depending upon the ratio of total funded debt-to-earnings before interest, taxes, depreciation and amortization (“EBITDA”) as defined in the facility. The Company pays a facility fee, depending upon the ratio of total funded debt to EBITDA, equal to 0.25% to 0.50% of the capacity. The facility includes restrictive covenants that limit the Company’s ability to incur additional indebtedness, encumber its assets, sell its assets, or pay dividends. There are no required payments prior to the expiration of the facility. The Company’s facility and promissory notes are secured by the stock of the Company’s major subsidiaries. The facility requires that LII annually and quarterly deliver financial statements, as well as compliance certificates, to the banks within a specified period of time. As a result of the delay in filing of LII’s Annual Report on Form 10-K for the year ended December 31, 2003 and Quarterly Reports on Forms 10-Q for the quarters ended March 31, 2004 and June 30, 2004, LII requested and received waivers from its banks through December 31, 2004, of any breach due to a delay in the delivery of its annual and quarterly financial statements, as well as compliance certificates. Upon filing this Annual Report on Form 10-K and LII’s Quarterly Reports on Form 10-Q for the quarters ended March 31, 2004, and June 30, 2004 with the SEC and by delivering a copy of these filings to the Administrative Agent under the facility, LII will comply with the terms of the facility.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 May 8, 2002, the Company issued $143.8 million of 6.25% convertible subordinated notes (“Notes”), maturing June 1, 2009, and received proceeds totaling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$139 million after debt issuance costs. Interest is payable semi-annually on June 1 and December 1 of each year. Each $1,000 Note is convertible into 55.29 shares of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Redemption can occur at the Company’s option beginning in June 2005 if the market price of the Company’s Common Stock has exceeded $23.52 during specified periods and at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option of the Note holders if the market price of the Company’s Common Stock has exceeded $19.90 during specified periods or if the market price of the Notes is less than 95% of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market price of the stock multiplied by 55.29. The Notes are junior in right of payment to all our existing and future senior indebtedness, and are structurally subordinated to all</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liabilities of our subsidiaries, including trade payables, lease commitments and money borrowed. Under the Registration Rights Agreement, dated as of May 8, 2002 (the “Registration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Rights Agreement”), between LII, UBS Warburg LLC and the other initial purchasers relating to the Notes, LII agreed that during the two-year period from the date of issuance of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Notes (May 8, 2002), LII would file with the SEC a registration statement on the Notes and cause the registration statement to be declared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right="80"/>
        <w:spacing w:after="0" w:line="301" w:lineRule="auto"/>
        <w:rPr>
          <w:sz w:val="20"/>
          <w:szCs w:val="20"/>
          <w:color w:val="auto"/>
        </w:rPr>
      </w:pPr>
      <w:r>
        <w:rPr>
          <w:rFonts w:ascii="Arial" w:cs="Arial" w:eastAsia="Arial" w:hAnsi="Arial"/>
          <w:sz w:val="14"/>
          <w:szCs w:val="14"/>
          <w:color w:val="auto"/>
        </w:rPr>
        <w:t>effective and usable for the offer and sale of the Notes. The delay in filing of LII’s Annual Report on Form 10-K caused a default on April 29, 2004 under the Registration Rights Agreements (the “Default Date”) since the registration statement ceased to be effective through May 8, 2004 (a “Registration Default”). Upon a Registration Default, LII became contractually obligated to pay an additional 0.25% per annum interest (“Liquidated Damages”) from the Default Date until the second anniversary of the issuance of the Notes. As of May 8, 2004, LII was no longer in default with no further Liquidated Damages required. LII paid approximately $32,000 in Liquidated Damages on June 1, 2004.</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Summarized below are LII’s long-term payment obligations (amounts shown in million):</w:t>
      </w:r>
    </w:p>
    <w:p>
      <w:pPr>
        <w:spacing w:after="0" w:line="38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5"/>
          </w:tcPr>
          <w:p>
            <w:pPr>
              <w:jc w:val="center"/>
              <w:spacing w:after="0"/>
              <w:rPr>
                <w:sz w:val="20"/>
                <w:szCs w:val="20"/>
                <w:color w:val="auto"/>
              </w:rPr>
            </w:pPr>
            <w:r>
              <w:rPr>
                <w:rFonts w:ascii="Arial" w:cs="Arial" w:eastAsia="Arial" w:hAnsi="Arial"/>
                <w:sz w:val="12"/>
                <w:szCs w:val="12"/>
                <w:b w:val="1"/>
                <w:bCs w:val="1"/>
                <w:color w:val="auto"/>
                <w:w w:val="89"/>
              </w:rPr>
              <w:t>Payments Due by Period</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8"/>
              </w:rPr>
              <w:t>1 Year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center"/>
              <w:ind w:right="6"/>
              <w:spacing w:after="0"/>
              <w:rPr>
                <w:sz w:val="20"/>
                <w:szCs w:val="20"/>
                <w:color w:val="auto"/>
              </w:rPr>
            </w:pPr>
            <w:r>
              <w:rPr>
                <w:rFonts w:ascii="Arial" w:cs="Arial" w:eastAsia="Arial" w:hAnsi="Arial"/>
                <w:sz w:val="12"/>
                <w:szCs w:val="12"/>
                <w:b w:val="1"/>
                <w:bCs w:val="1"/>
                <w:color w:val="auto"/>
                <w:w w:val="91"/>
              </w:rPr>
              <w:t>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b w:val="1"/>
                <w:bCs w:val="1"/>
                <w:color w:val="auto"/>
              </w:rPr>
              <w:t>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After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280" w:type="dxa"/>
            <w:vAlign w:val="bottom"/>
          </w:tcPr>
          <w:p>
            <w:pPr>
              <w:spacing w:after="0"/>
              <w:rPr>
                <w:sz w:val="13"/>
                <w:szCs w:val="13"/>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4"/>
              </w:rPr>
              <w:t>or Less</w:t>
            </w:r>
          </w:p>
        </w:tc>
        <w:tc>
          <w:tcPr>
            <w:tcW w:w="280" w:type="dxa"/>
            <w:vAlign w:val="bottom"/>
          </w:tcPr>
          <w:p>
            <w:pPr>
              <w:spacing w:after="0"/>
              <w:rPr>
                <w:sz w:val="13"/>
                <w:szCs w:val="13"/>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85"/>
              </w:rPr>
              <w:t>Years</w:t>
            </w:r>
          </w:p>
        </w:tc>
        <w:tc>
          <w:tcPr>
            <w:tcW w:w="660" w:type="dxa"/>
            <w:vAlign w:val="bottom"/>
            <w:gridSpan w:val="3"/>
          </w:tcPr>
          <w:p>
            <w:pPr>
              <w:ind w:left="200"/>
              <w:spacing w:after="0"/>
              <w:rPr>
                <w:sz w:val="20"/>
                <w:szCs w:val="20"/>
                <w:color w:val="auto"/>
              </w:rPr>
            </w:pPr>
            <w:r>
              <w:rPr>
                <w:rFonts w:ascii="Arial" w:cs="Arial" w:eastAsia="Arial" w:hAnsi="Arial"/>
                <w:sz w:val="12"/>
                <w:szCs w:val="12"/>
                <w:b w:val="1"/>
                <w:bCs w:val="1"/>
                <w:color w:val="auto"/>
              </w:rPr>
              <w:t>Years</w:t>
            </w:r>
          </w:p>
        </w:tc>
        <w:tc>
          <w:tcPr>
            <w:tcW w:w="280" w:type="dxa"/>
            <w:vAlign w:val="bottom"/>
          </w:tcPr>
          <w:p>
            <w:pPr>
              <w:spacing w:after="0"/>
              <w:rPr>
                <w:sz w:val="13"/>
                <w:szCs w:val="13"/>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6"/>
                <w:szCs w:val="16"/>
                <w:color w:val="auto"/>
              </w:rPr>
              <w:t>Long-term debt and capital leases</w:t>
            </w: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$358.7</w:t>
            </w:r>
          </w:p>
        </w:tc>
        <w:tc>
          <w:tcPr>
            <w:tcW w:w="180" w:type="dxa"/>
            <w:vAlign w:val="bottom"/>
            <w:shd w:val="clear" w:color="auto" w:fill="EEEEEE"/>
          </w:tcPr>
          <w:p>
            <w:pPr>
              <w:spacing w:after="0"/>
              <w:rPr>
                <w:sz w:val="16"/>
                <w:szCs w:val="16"/>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85.6</w:t>
            </w: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$72.6</w:t>
            </w:r>
          </w:p>
        </w:tc>
        <w:tc>
          <w:tcPr>
            <w:tcW w:w="180" w:type="dxa"/>
            <w:vAlign w:val="bottom"/>
            <w:shd w:val="clear" w:color="auto" w:fill="EEEEEE"/>
          </w:tcPr>
          <w:p>
            <w:pPr>
              <w:spacing w:after="0"/>
              <w:rPr>
                <w:sz w:val="16"/>
                <w:szCs w:val="16"/>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$179.1</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Operating leases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170.7</w:t>
            </w:r>
          </w:p>
        </w:tc>
        <w:tc>
          <w:tcPr>
            <w:tcW w:w="1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6"/>
                <w:szCs w:val="16"/>
                <w:color w:val="auto"/>
              </w:rPr>
              <w:t>Purchase obligations</w:t>
            </w:r>
          </w:p>
        </w:tc>
        <w:tc>
          <w:tcPr>
            <w:tcW w:w="6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EEEEEE"/>
          </w:tcPr>
          <w:p>
            <w:pPr>
              <w:spacing w:after="0"/>
              <w:rPr>
                <w:sz w:val="16"/>
                <w:szCs w:val="16"/>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820" w:type="dxa"/>
            <w:vAlign w:val="bottom"/>
            <w:gridSpan w:val="3"/>
            <w:shd w:val="clear" w:color="auto" w:fill="EEEEEE"/>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EEEEE"/>
          </w:tcPr>
          <w:p>
            <w:pPr>
              <w:spacing w:after="0"/>
              <w:rPr>
                <w:sz w:val="16"/>
                <w:szCs w:val="16"/>
                <w:color w:val="auto"/>
              </w:rPr>
            </w:pPr>
          </w:p>
        </w:tc>
        <w:tc>
          <w:tcPr>
            <w:tcW w:w="4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64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6"/>
                <w:szCs w:val="16"/>
                <w:color w:val="auto"/>
              </w:rPr>
              <w:t>Total contractual obligations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$549.5</w:t>
            </w:r>
          </w:p>
        </w:tc>
        <w:tc>
          <w:tcPr>
            <w:tcW w:w="1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$85.2</w:t>
            </w:r>
          </w:p>
        </w:tc>
        <w:tc>
          <w:tcPr>
            <w:tcW w:w="2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135.8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$96.3</w:t>
            </w: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$232.2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3970655</wp:posOffset>
            </wp:positionH>
            <wp:positionV relativeFrom="paragraph">
              <wp:posOffset>-34925</wp:posOffset>
            </wp:positionV>
            <wp:extent cx="1270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-34925</wp:posOffset>
            </wp:positionV>
            <wp:extent cx="1270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4613910</wp:posOffset>
            </wp:positionH>
            <wp:positionV relativeFrom="paragraph">
              <wp:posOffset>-34925</wp:posOffset>
            </wp:positionV>
            <wp:extent cx="1270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-34925</wp:posOffset>
            </wp:positionV>
            <wp:extent cx="1270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-34925</wp:posOffset>
            </wp:positionV>
            <wp:extent cx="127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-34925</wp:posOffset>
            </wp:positionV>
            <wp:extent cx="127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-34925</wp:posOffset>
            </wp:positionV>
            <wp:extent cx="1270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-34925</wp:posOffset>
            </wp:positionV>
            <wp:extent cx="1270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-34925</wp:posOffset>
            </wp:positionV>
            <wp:extent cx="1270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-34925</wp:posOffset>
            </wp:positionV>
            <wp:extent cx="1270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firstLine="286"/>
        <w:spacing w:after="0" w:line="264" w:lineRule="auto"/>
        <w:rPr>
          <w:sz w:val="20"/>
          <w:szCs w:val="20"/>
          <w:color w:val="auto"/>
        </w:rPr>
      </w:pPr>
      <w:r>
        <w:rPr>
          <w:rFonts w:ascii="Arial" w:cs="Arial" w:eastAsia="Arial" w:hAnsi="Arial"/>
          <w:sz w:val="16"/>
          <w:szCs w:val="16"/>
          <w:color w:val="auto"/>
        </w:rPr>
        <w:t>Purchase obligations consist of copper and aluminum commitments. The above table does not include retirement and postretirement liabilities because it is not certain when these liabilities will become due. See Note 12 of the Notes to the Company’s Consolidated Financial Statements for additional information.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LII, in addition to the revolving and term loans described above, utilizes two other types of financing in the course of funding its operations:</w:t>
      </w:r>
    </w:p>
    <w:p>
      <w:pPr>
        <w:spacing w:after="0" w:line="222" w:lineRule="exact"/>
        <w:rPr>
          <w:sz w:val="20"/>
          <w:szCs w:val="20"/>
          <w:color w:val="auto"/>
        </w:rPr>
      </w:pPr>
    </w:p>
    <w:p>
      <w:pPr>
        <w:ind w:left="340" w:right="40" w:firstLine="286"/>
        <w:spacing w:after="0" w:line="254" w:lineRule="auto"/>
        <w:rPr>
          <w:sz w:val="20"/>
          <w:szCs w:val="20"/>
          <w:color w:val="auto"/>
        </w:rPr>
      </w:pPr>
      <w:r>
        <w:rPr>
          <w:rFonts w:ascii="Arial" w:cs="Arial" w:eastAsia="Arial" w:hAnsi="Arial"/>
          <w:sz w:val="16"/>
          <w:szCs w:val="16"/>
          <w:color w:val="auto"/>
        </w:rPr>
        <w:t>Trade accounts receivable are sold on a non-recourse basis to third parties. The sales are reported as a reduction of the asset “Accounts and notes receivable, net” in the Consolidated Balance Sheets. As of December 31, 2003 and December 31, 2002, LII had sold zero and $99.0 million, respectively, of such accounts receivable. The receivables are sold at a discount from face value, and this discount aggregated $2.9 million in 2003 and $4.3 million in 2002. The discount expense is shown as a component of selling, general and administrative expense in the Consolidated Statements of Operations.</w:t>
      </w:r>
    </w:p>
    <w:p>
      <w:pPr>
        <w:spacing w:after="0" w:line="223" w:lineRule="exact"/>
        <w:rPr>
          <w:sz w:val="20"/>
          <w:szCs w:val="20"/>
          <w:color w:val="auto"/>
        </w:rPr>
      </w:pPr>
    </w:p>
    <w:p>
      <w:pPr>
        <w:jc w:val="both"/>
        <w:ind w:left="340" w:right="320" w:firstLine="286"/>
        <w:spacing w:after="0" w:line="310" w:lineRule="auto"/>
        <w:rPr>
          <w:sz w:val="20"/>
          <w:szCs w:val="20"/>
          <w:color w:val="auto"/>
        </w:rPr>
      </w:pPr>
      <w:r>
        <w:rPr>
          <w:rFonts w:ascii="Arial" w:cs="Arial" w:eastAsia="Arial" w:hAnsi="Arial"/>
          <w:sz w:val="14"/>
          <w:szCs w:val="14"/>
          <w:color w:val="auto"/>
        </w:rPr>
        <w:t>LII also leases real estate and machinery and equipment pursuant to leases, that properly are not capitalized on the balance sheet under Generally Accepted Accounting Principles (“GAAP”), including high-turnover equipment such as autos and service vehicles and short-lived equipment such as personal computers. These operating leases generated rent expense of approximately $59.7 million, $71.4 million and $69.9 million in the years 2003, 2002 and 2001, respectively.</w:t>
      </w:r>
    </w:p>
    <w:p>
      <w:pPr>
        <w:spacing w:after="0" w:line="163" w:lineRule="exact"/>
        <w:rPr>
          <w:sz w:val="20"/>
          <w:szCs w:val="20"/>
          <w:color w:val="auto"/>
        </w:rPr>
      </w:pPr>
    </w:p>
    <w:p>
      <w:pPr>
        <w:ind w:right="80" w:firstLine="286"/>
        <w:spacing w:after="0" w:line="254" w:lineRule="auto"/>
        <w:rPr>
          <w:sz w:val="20"/>
          <w:szCs w:val="20"/>
          <w:color w:val="auto"/>
        </w:rPr>
      </w:pPr>
      <w:r>
        <w:rPr>
          <w:rFonts w:ascii="Arial" w:cs="Arial" w:eastAsia="Arial" w:hAnsi="Arial"/>
          <w:sz w:val="16"/>
          <w:szCs w:val="16"/>
          <w:color w:val="auto"/>
        </w:rPr>
        <w:t>LII’s domestic revolving and term loans contain certain financial covenant restrictions. As of December 31, 2003, LII was in compliance with all covenant requirements and LII believes that cash flow from operations, as well as available borrowings under its revolving credit facility and other sources of funding will be sufficient to fund its operations for the foreseeable future. LII is currently reviewing its capital structure, and this review may include modifying current sources of capital or obtaining alternative sources of capital with a goal of providing additional financial flexibility to LII.</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228" w:lineRule="exact"/>
        <w:rPr>
          <w:sz w:val="20"/>
          <w:szCs w:val="20"/>
          <w:color w:val="auto"/>
        </w:rPr>
      </w:pPr>
    </w:p>
    <w:p>
      <w:pPr>
        <w:ind w:right="100" w:firstLine="286"/>
        <w:spacing w:after="0" w:line="301" w:lineRule="auto"/>
        <w:rPr>
          <w:sz w:val="20"/>
          <w:szCs w:val="20"/>
          <w:color w:val="auto"/>
        </w:rPr>
      </w:pPr>
      <w:r>
        <w:rPr>
          <w:rFonts w:ascii="Arial" w:cs="Arial" w:eastAsia="Arial" w:hAnsi="Arial"/>
          <w:sz w:val="14"/>
          <w:szCs w:val="14"/>
          <w:color w:val="auto"/>
        </w:rPr>
        <w:t>LII’s results of operations can be affected by changes in exchange rates. Net sales and expenses in currencies other than the United States dollar are translated into United States dollars for financial reporting purposes based on the average exchange rate for the period. During 2003, 2002 and 2001, net sales from outside the United States represented 24.0%, 22.1% and 21.4%, respectively, of total net sales. Historically, foreign currency transaction gains (losses) have not had a material effect on LII’s overall operations. The impact of a 10% change in exchange rates on income from operations is estimated to be approximately $3.0 million.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20"/>
          </w:cols>
          <w:pgMar w:left="240" w:top="386"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220" w:firstLine="286"/>
        <w:spacing w:after="0" w:line="264" w:lineRule="auto"/>
        <w:rPr>
          <w:sz w:val="20"/>
          <w:szCs w:val="20"/>
          <w:color w:val="auto"/>
        </w:rPr>
      </w:pPr>
      <w:r>
        <w:rPr>
          <w:rFonts w:ascii="Arial" w:cs="Arial" w:eastAsia="Arial" w:hAnsi="Arial"/>
          <w:sz w:val="16"/>
          <w:szCs w:val="16"/>
          <w:color w:val="auto"/>
        </w:rPr>
        <w:t>The Company’s results of operations can be affected by changes in interest rates due to variable rates of interest on the revolving credit facilities. A 10% change in interest rates would not be material to the Company’s results of operations.</w:t>
      </w:r>
    </w:p>
    <w:p>
      <w:pPr>
        <w:spacing w:after="0" w:line="192" w:lineRule="exact"/>
        <w:rPr>
          <w:sz w:val="20"/>
          <w:szCs w:val="20"/>
          <w:color w:val="auto"/>
        </w:rPr>
      </w:pPr>
    </w:p>
    <w:p>
      <w:pPr>
        <w:ind w:right="80" w:firstLine="286"/>
        <w:spacing w:after="0" w:line="297" w:lineRule="auto"/>
        <w:rPr>
          <w:sz w:val="20"/>
          <w:szCs w:val="20"/>
          <w:color w:val="auto"/>
        </w:rPr>
      </w:pPr>
      <w:r>
        <w:rPr>
          <w:rFonts w:ascii="Arial" w:cs="Arial" w:eastAsia="Arial" w:hAnsi="Arial"/>
          <w:sz w:val="14"/>
          <w:szCs w:val="14"/>
          <w:color w:val="auto"/>
        </w:rPr>
        <w:t>The Company enters into commodity futures contracts to stabilize prices expected to be paid for raw materials and parts containing high copper and aluminum content. These contracts are for quantities equal to, or less than, quantities expected to be consumed in future production. As of December 31, 2003, LII was committed for 13.4 million pounds of aluminum and 12.0 million pounds of copper under such arrangements. The net fair value of these contracts was an asset of $2.3 million as of December 31, 2003. Accordingly, the Company has recorded an unrealized gain of $1.4 million, net of tax provision of $0.9 million, in the Accumulated Other Comprehensive Loss component of stockholders’ equity. The impact of a 10% change in commodity prices on the Company results from operations is estimated to be approximately $16.0 million, absent any other contravening actions.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Historically, inflation has not had a material effect on LII’s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8" w:lineRule="exact"/>
        <w:rPr>
          <w:sz w:val="20"/>
          <w:szCs w:val="20"/>
          <w:color w:val="auto"/>
        </w:rPr>
      </w:pPr>
    </w:p>
    <w:p>
      <w:pPr>
        <w:jc w:val="both"/>
        <w:ind w:right="100" w:firstLine="286"/>
        <w:spacing w:after="0" w:line="310" w:lineRule="auto"/>
        <w:rPr>
          <w:sz w:val="20"/>
          <w:szCs w:val="20"/>
          <w:color w:val="auto"/>
        </w:rPr>
      </w:pPr>
      <w:r>
        <w:rPr>
          <w:rFonts w:ascii="Arial" w:cs="Arial" w:eastAsia="Arial" w:hAnsi="Arial"/>
          <w:sz w:val="14"/>
          <w:szCs w:val="14"/>
          <w:color w:val="auto"/>
        </w:rPr>
        <w:t>The preparation of financial statements requires the use of judgments and estimates. The critical accounting policies are described below to provide a better understanding of how the Company develops its judgments about future events and related estimations and how they can impact the financial statements. A critical accounting policy is one that requires the most difficult, subjective or complex estimates and assessments and is fundamental to the results of operations. The Company identified the most critical accounting policies to be:</w:t>
      </w:r>
    </w:p>
    <w:p>
      <w:pPr>
        <w:spacing w:after="0" w:line="139" w:lineRule="exact"/>
        <w:rPr>
          <w:sz w:val="20"/>
          <w:szCs w:val="20"/>
          <w:color w:val="auto"/>
        </w:rPr>
      </w:pPr>
    </w:p>
    <w:p>
      <w:pPr>
        <w:ind w:left="460" w:hanging="11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Estimation of warranty liabilities;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Valuation of goodwill and intangible assets;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Adequacy of allowance for doubtful accounts;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Pension and Postretirement benefit projections; and</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Estimates of self-insured risks.</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related notes beginning on page 33.</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Product Warranties</w:t>
      </w:r>
    </w:p>
    <w:p>
      <w:pPr>
        <w:spacing w:after="0" w:line="222" w:lineRule="exact"/>
        <w:rPr>
          <w:sz w:val="20"/>
          <w:szCs w:val="20"/>
          <w:color w:val="auto"/>
        </w:rPr>
      </w:pPr>
    </w:p>
    <w:p>
      <w:pPr>
        <w:ind w:firstLine="286"/>
        <w:spacing w:after="0" w:line="256" w:lineRule="auto"/>
        <w:rPr>
          <w:sz w:val="20"/>
          <w:szCs w:val="20"/>
          <w:color w:val="auto"/>
        </w:rPr>
      </w:pPr>
      <w:r>
        <w:rPr>
          <w:rFonts w:ascii="Arial" w:cs="Arial" w:eastAsia="Arial" w:hAnsi="Arial"/>
          <w:sz w:val="16"/>
          <w:szCs w:val="16"/>
          <w:color w:val="auto"/>
        </w:rPr>
        <w:t>A liability for estimated warranty expense is established by a charge against operations at the time the products are sold. The subsequent costs incurred for warranty claims serve to reduce the product warranty liability. The Company recorded warranty expense of $25.4 million, $25.9 million and $27.2 million for the years ended December 31, 2003, 2002 and 2001, respectively.</w:t>
      </w:r>
    </w:p>
    <w:p>
      <w:pPr>
        <w:spacing w:after="0" w:line="198" w:lineRule="exact"/>
        <w:rPr>
          <w:sz w:val="20"/>
          <w:szCs w:val="20"/>
          <w:color w:val="auto"/>
        </w:rPr>
      </w:pPr>
    </w:p>
    <w:p>
      <w:pPr>
        <w:ind w:right="160" w:firstLine="286"/>
        <w:spacing w:after="0" w:line="301" w:lineRule="auto"/>
        <w:rPr>
          <w:sz w:val="20"/>
          <w:szCs w:val="20"/>
          <w:color w:val="auto"/>
        </w:rPr>
      </w:pPr>
      <w:r>
        <w:rPr>
          <w:rFonts w:ascii="Arial" w:cs="Arial" w:eastAsia="Arial" w:hAnsi="Arial"/>
          <w:sz w:val="14"/>
          <w:szCs w:val="14"/>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changes in actual failure rate and cost experience.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80" w:firstLine="286"/>
        <w:spacing w:after="0" w:line="264" w:lineRule="auto"/>
        <w:rPr>
          <w:sz w:val="20"/>
          <w:szCs w:val="20"/>
          <w:color w:val="auto"/>
        </w:rPr>
      </w:pPr>
      <w:r>
        <w:rPr>
          <w:rFonts w:ascii="Arial" w:cs="Arial" w:eastAsia="Arial" w:hAnsi="Arial"/>
          <w:sz w:val="16"/>
          <w:szCs w:val="16"/>
          <w:color w:val="auto"/>
        </w:rPr>
        <w:t>Total liabilities for estimated warranty expense are $67.3 million and $63.6 million as of December 31, 2003 and 2002, respectively, and are included in the following captions on the accompanying Consolidated Balance Sheets (in millions):</w:t>
      </w:r>
    </w:p>
    <w:p>
      <w:pPr>
        <w:spacing w:after="0" w:line="35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5"/>
          </w:tcPr>
          <w:p>
            <w:pPr>
              <w:ind w:left="160"/>
              <w:spacing w:after="0"/>
              <w:rPr>
                <w:sz w:val="20"/>
                <w:szCs w:val="20"/>
                <w:color w:val="auto"/>
              </w:rPr>
            </w:pPr>
            <w:r>
              <w:rPr>
                <w:rFonts w:ascii="Arial" w:cs="Arial" w:eastAsia="Arial" w:hAnsi="Arial"/>
                <w:sz w:val="12"/>
                <w:szCs w:val="12"/>
                <w:b w:val="1"/>
                <w:bCs w:val="1"/>
                <w:color w:val="auto"/>
              </w:rPr>
              <w:t>December 31,</w:t>
            </w:r>
          </w:p>
        </w:tc>
      </w:tr>
      <w:tr>
        <w:trPr>
          <w:trHeight w:val="83"/>
        </w:trPr>
        <w:tc>
          <w:tcPr>
            <w:tcW w:w="59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r>
      <w:tr>
        <w:trPr>
          <w:trHeight w:val="208"/>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2"/>
                <w:szCs w:val="12"/>
                <w:b w:val="1"/>
                <w:bCs w:val="1"/>
                <w:color w:val="auto"/>
              </w:rPr>
              <w:t>Restated</w:t>
            </w:r>
          </w:p>
        </w:tc>
      </w:tr>
      <w:tr>
        <w:trPr>
          <w:trHeight w:val="154"/>
        </w:trPr>
        <w:tc>
          <w:tcPr>
            <w:tcW w:w="59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114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2002</w:t>
            </w:r>
          </w:p>
        </w:tc>
        <w:tc>
          <w:tcPr>
            <w:tcW w:w="400" w:type="dxa"/>
            <w:vAlign w:val="bottom"/>
          </w:tcPr>
          <w:p>
            <w:pPr>
              <w:spacing w:after="0"/>
              <w:rPr>
                <w:sz w:val="13"/>
                <w:szCs w:val="13"/>
                <w:color w:val="auto"/>
              </w:rPr>
            </w:pPr>
          </w:p>
        </w:tc>
      </w:tr>
      <w:tr>
        <w:trPr>
          <w:trHeight w:val="83"/>
        </w:trPr>
        <w:tc>
          <w:tcPr>
            <w:tcW w:w="59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r>
      <w:tr>
        <w:trPr>
          <w:trHeight w:val="87"/>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r>
      <w:tr>
        <w:trPr>
          <w:trHeight w:val="191"/>
        </w:trPr>
        <w:tc>
          <w:tcPr>
            <w:tcW w:w="5940" w:type="dxa"/>
            <w:vAlign w:val="bottom"/>
            <w:shd w:val="clear" w:color="auto" w:fill="EEEEEE"/>
          </w:tcPr>
          <w:p>
            <w:pPr>
              <w:spacing w:after="0"/>
              <w:rPr>
                <w:sz w:val="20"/>
                <w:szCs w:val="20"/>
                <w:color w:val="auto"/>
              </w:rPr>
            </w:pPr>
            <w:r>
              <w:rPr>
                <w:rFonts w:ascii="Arial" w:cs="Arial" w:eastAsia="Arial" w:hAnsi="Arial"/>
                <w:sz w:val="16"/>
                <w:szCs w:val="16"/>
                <w:color w:val="auto"/>
              </w:rPr>
              <w:t>Accrued expenses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$28.1</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$25.9</w:t>
            </w:r>
          </w:p>
        </w:tc>
        <w:tc>
          <w:tcPr>
            <w:tcW w:w="400" w:type="dxa"/>
            <w:vAlign w:val="bottom"/>
            <w:shd w:val="clear" w:color="auto" w:fill="EEEEEE"/>
          </w:tcPr>
          <w:p>
            <w:pPr>
              <w:spacing w:after="0"/>
              <w:rPr>
                <w:sz w:val="16"/>
                <w:szCs w:val="16"/>
                <w:color w:val="auto"/>
              </w:rPr>
            </w:pPr>
          </w:p>
        </w:tc>
      </w:tr>
      <w:tr>
        <w:trPr>
          <w:trHeight w:val="196"/>
        </w:trPr>
        <w:tc>
          <w:tcPr>
            <w:tcW w:w="5940" w:type="dxa"/>
            <w:vAlign w:val="bottom"/>
          </w:tcPr>
          <w:p>
            <w:pPr>
              <w:spacing w:after="0"/>
              <w:rPr>
                <w:sz w:val="20"/>
                <w:szCs w:val="20"/>
                <w:color w:val="auto"/>
              </w:rPr>
            </w:pPr>
            <w:r>
              <w:rPr>
                <w:rFonts w:ascii="Arial" w:cs="Arial" w:eastAsia="Arial" w:hAnsi="Arial"/>
                <w:sz w:val="16"/>
                <w:szCs w:val="16"/>
                <w:color w:val="auto"/>
              </w:rPr>
              <w:t>Other liabilities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39.2</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37.7</w:t>
            </w:r>
          </w:p>
        </w:tc>
        <w:tc>
          <w:tcPr>
            <w:tcW w:w="400" w:type="dxa"/>
            <w:vAlign w:val="bottom"/>
          </w:tcPr>
          <w:p>
            <w:pPr>
              <w:spacing w:after="0"/>
              <w:rPr>
                <w:sz w:val="17"/>
                <w:szCs w:val="17"/>
                <w:color w:val="auto"/>
              </w:rPr>
            </w:pPr>
          </w:p>
        </w:tc>
      </w:tr>
      <w:tr>
        <w:trPr>
          <w:trHeight w:val="90"/>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r>
      <w:tr>
        <w:trPr>
          <w:trHeight w:val="87"/>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r>
      <w:tr>
        <w:trPr>
          <w:trHeight w:val="191"/>
        </w:trPr>
        <w:tc>
          <w:tcPr>
            <w:tcW w:w="59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$67.3</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$63.6</w:t>
            </w:r>
          </w:p>
        </w:tc>
        <w:tc>
          <w:tcPr>
            <w:tcW w:w="400" w:type="dxa"/>
            <w:vAlign w:val="bottom"/>
            <w:shd w:val="clear" w:color="auto" w:fill="EEEEEE"/>
          </w:tcPr>
          <w:p>
            <w:pPr>
              <w:spacing w:after="0"/>
              <w:rPr>
                <w:sz w:val="16"/>
                <w:szCs w:val="16"/>
                <w:color w:val="auto"/>
              </w:rPr>
            </w:pPr>
          </w:p>
        </w:tc>
      </w:tr>
      <w:tr>
        <w:trPr>
          <w:trHeight w:val="127"/>
        </w:trPr>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-34925</wp:posOffset>
            </wp:positionV>
            <wp:extent cx="1270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-34925</wp:posOffset>
            </wp:positionV>
            <wp:extent cx="1270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-34925</wp:posOffset>
            </wp:positionV>
            <wp:extent cx="127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-34925</wp:posOffset>
            </wp:positionV>
            <wp:extent cx="127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in the carrying amount of the Company’s total warranty liabilities for the years ended December 31, 2003 and 2002 are as follows (in millions):</w:t>
      </w:r>
    </w:p>
    <w:p>
      <w:pPr>
        <w:spacing w:after="0" w:line="395" w:lineRule="exact"/>
        <w:rPr>
          <w:sz w:val="20"/>
          <w:szCs w:val="20"/>
          <w:color w:val="auto"/>
        </w:rPr>
      </w:pPr>
    </w:p>
    <w:tbl>
      <w:tblPr>
        <w:tblLayout w:type="fixed"/>
        <w:tblInd w:w="228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Total warranty liability at December 31, 2001</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$ 61.9</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Payments made in 2002</w:t>
            </w:r>
          </w:p>
        </w:tc>
        <w:tc>
          <w:tcPr>
            <w:tcW w:w="1840" w:type="dxa"/>
            <w:vAlign w:val="bottom"/>
            <w:gridSpan w:val="3"/>
          </w:tcPr>
          <w:p>
            <w:pPr>
              <w:jc w:val="right"/>
              <w:ind w:right="14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Changes resulting from issuance of new warranties (restated)</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020" w:type="dxa"/>
            <w:vAlign w:val="bottom"/>
            <w:gridSpan w:val="2"/>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020" w:type="dxa"/>
            <w:vAlign w:val="bottom"/>
            <w:gridSpan w:val="2"/>
          </w:tcPr>
          <w:p>
            <w:pPr>
              <w:spacing w:after="0"/>
              <w:rPr>
                <w:sz w:val="20"/>
                <w:szCs w:val="20"/>
                <w:color w:val="auto"/>
              </w:rPr>
            </w:pPr>
            <w:r>
              <w:rPr>
                <w:rFonts w:ascii="Arial" w:cs="Arial" w:eastAsia="Arial" w:hAnsi="Arial"/>
                <w:sz w:val="16"/>
                <w:szCs w:val="16"/>
                <w:color w:val="auto"/>
              </w:rPr>
              <w:t>Total warranty liability at December 31, 2002 (restated)</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$ 63.6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Payments made in 2003</w:t>
            </w:r>
          </w:p>
        </w:tc>
        <w:tc>
          <w:tcPr>
            <w:tcW w:w="1840" w:type="dxa"/>
            <w:vAlign w:val="bottom"/>
            <w:gridSpan w:val="3"/>
            <w:shd w:val="clear" w:color="auto" w:fill="EEEEEE"/>
          </w:tcPr>
          <w:p>
            <w:pPr>
              <w:jc w:val="right"/>
              <w:ind w:right="14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Changes resulting from issuance of new warranties</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Total warranty liability at December 31, 2003</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$ 67.3</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-34925</wp:posOffset>
            </wp:positionV>
            <wp:extent cx="1270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-34925</wp:posOffset>
            </wp:positionV>
            <wp:extent cx="127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 in warranty liability that resulted from changes in estimates of warranties issued is not significant.</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Goodwill and Other Intangible Assets</w:t>
      </w:r>
    </w:p>
    <w:p>
      <w:pPr>
        <w:spacing w:after="0" w:line="222" w:lineRule="exact"/>
        <w:rPr>
          <w:sz w:val="20"/>
          <w:szCs w:val="20"/>
          <w:color w:val="auto"/>
        </w:rPr>
      </w:pPr>
    </w:p>
    <w:p>
      <w:pPr>
        <w:ind w:firstLine="286"/>
        <w:spacing w:after="0" w:line="254" w:lineRule="auto"/>
        <w:rPr>
          <w:sz w:val="20"/>
          <w:szCs w:val="20"/>
          <w:color w:val="auto"/>
        </w:rPr>
      </w:pPr>
      <w:r>
        <w:rPr>
          <w:rFonts w:ascii="Arial" w:cs="Arial" w:eastAsia="Arial" w:hAnsi="Arial"/>
          <w:sz w:val="16"/>
          <w:szCs w:val="16"/>
          <w:color w:val="auto"/>
        </w:rPr>
        <w:t>Goodwill and intangible assets acquired in a purchase business combination and determined to have an indefinite useful life are not amortized, but instead tested for impairment at least annually in accordance with the provisions of SFAS No. 142 as of January 1, 2002. SFAS No. 142 also requires that intangible assets with estimable useful lives be amortized over their respective estimated useful lives to their estimated residual values, and reviewed for impairment in accordance with Statement of Financial Accounting Standards No. 144, “Accounting for Impairment or Disposal of Long-Lived Assets.”</w:t>
      </w:r>
    </w:p>
    <w:p>
      <w:pPr>
        <w:spacing w:after="0" w:line="199" w:lineRule="exact"/>
        <w:rPr>
          <w:sz w:val="20"/>
          <w:szCs w:val="20"/>
          <w:color w:val="auto"/>
        </w:rPr>
      </w:pPr>
    </w:p>
    <w:p>
      <w:pPr>
        <w:ind w:firstLine="286"/>
        <w:spacing w:after="0" w:line="289" w:lineRule="auto"/>
        <w:rPr>
          <w:sz w:val="20"/>
          <w:szCs w:val="20"/>
          <w:color w:val="auto"/>
        </w:rPr>
      </w:pPr>
      <w:r>
        <w:rPr>
          <w:rFonts w:ascii="Arial" w:cs="Arial" w:eastAsia="Arial" w:hAnsi="Arial"/>
          <w:sz w:val="14"/>
          <w:szCs w:val="14"/>
          <w:color w:val="auto"/>
        </w:rPr>
        <w:t>In connection with SFAS No. 142’s transitional goodwill impairment evaluation, the statement required the Company to perform an assessment of whether there was an indication that goodwill was impaired as of the date of adoption. To accomplish this, the Company was required to identify its reporting units and determine the carrying value of each reporting unit by assigning the assets and liabilities, including the existing goodwill and intangible assets, to those reporting units as of January 1, 2002. To the extent the carrying amount of a reporting unit exceeded the fair value of the reporting unit, the Company would be required to perform the second step of the transitional impairment test, as this is an indication that the reporting unit goodwill may be impaired. The second step was required for certain reporting units within the Residential Heating &amp; Cooling, Service Experts and Heat Transfer reporting segments where the results of various business operations acquired during 1998 to 2000 were lower than expected. In the second step, the Company compared the implied fair value of the reporting units goodwill with the carrying amount of the reporting unit goodwill, both of which were measured as of the date of adoption. The implied fair value of goodwill was determined by allocating the fair value of the reporting unit to all of the assets (recognized and unrecognized) and liabilities of the reporting unit in a manner similar to a purchase price allocation, in accordance with Statement of Financial Accounting Standards No. 141, “Business Combinations.” The residual fair value after this allocation was the implied fair value of the reporting units’ goodwill and was less than the carrying amount of these reporting units’ goodwill by $283.7 million. Accordingly, the Company recorded a $283.7 million ($247.9 million, net of tax) impairment charge upon adoption.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firstLine="286"/>
        <w:spacing w:after="0" w:line="310" w:lineRule="auto"/>
        <w:rPr>
          <w:sz w:val="20"/>
          <w:szCs w:val="20"/>
          <w:color w:val="auto"/>
        </w:rPr>
      </w:pPr>
      <w:r>
        <w:rPr>
          <w:rFonts w:ascii="Arial" w:cs="Arial" w:eastAsia="Arial" w:hAnsi="Arial"/>
          <w:sz w:val="14"/>
          <w:szCs w:val="14"/>
          <w:color w:val="auto"/>
        </w:rPr>
        <w:t>The goodwill impairment evaluation described above requires management to make long-range forecasts, determine the weighted average cost of capital and estimate the fair value of assets (both recognized and unrecognized) for the various reporting units. These forecasts and related factors are subject to various risks and uncertainties described within this document. To the extent these forecasts do not materialize and are adjusted downward in later periods, additional impairments may be required.</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During the first quarter of 2003, the Company performed its annual goodwill impairment test and determined that no further goodwill impairment charge was necessary.</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Allowance for Doubtful Accounts</w:t>
      </w:r>
    </w:p>
    <w:p>
      <w:pPr>
        <w:spacing w:after="0" w:line="222" w:lineRule="exact"/>
        <w:rPr>
          <w:sz w:val="20"/>
          <w:szCs w:val="20"/>
          <w:color w:val="auto"/>
        </w:rPr>
      </w:pPr>
    </w:p>
    <w:p>
      <w:pPr>
        <w:ind w:right="20" w:firstLine="286"/>
        <w:spacing w:after="0" w:line="301" w:lineRule="auto"/>
        <w:rPr>
          <w:sz w:val="20"/>
          <w:szCs w:val="20"/>
          <w:color w:val="auto"/>
        </w:rPr>
      </w:pPr>
      <w:r>
        <w:rPr>
          <w:rFonts w:ascii="Arial" w:cs="Arial" w:eastAsia="Arial" w:hAnsi="Arial"/>
          <w:sz w:val="14"/>
          <w:szCs w:val="14"/>
          <w:color w:val="auto"/>
        </w:rPr>
        <w:t>The allowance for doubtful accounts is generally established during the period in which receivables are recognized and is maintained at a level deemed appropriate by management based on historical and other factors that affect collectibility. Such factors include the historical trends of write-offs and recovery of previously written-off accounts, the financial strength of the customer and projected economic and market conditions. The evaluation of these factors involves complex, subjective judgments. Thus, changes in these factors or changes in economic circumstances may significantly impact the consolidated financial statements.</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Pensions and Postretirement Benefits</w:t>
      </w:r>
    </w:p>
    <w:p>
      <w:pPr>
        <w:spacing w:after="0" w:line="222" w:lineRule="exact"/>
        <w:rPr>
          <w:sz w:val="20"/>
          <w:szCs w:val="20"/>
          <w:color w:val="auto"/>
        </w:rPr>
      </w:pPr>
    </w:p>
    <w:p>
      <w:pPr>
        <w:ind w:right="160" w:firstLine="286"/>
        <w:spacing w:after="0" w:line="290" w:lineRule="auto"/>
        <w:rPr>
          <w:sz w:val="20"/>
          <w:szCs w:val="20"/>
          <w:color w:val="auto"/>
        </w:rPr>
      </w:pPr>
      <w:r>
        <w:rPr>
          <w:rFonts w:ascii="Arial" w:cs="Arial" w:eastAsia="Arial" w:hAnsi="Arial"/>
          <w:sz w:val="14"/>
          <w:szCs w:val="14"/>
          <w:color w:val="auto"/>
        </w:rPr>
        <w:t>The Company has domestic and foreign pension plans covering essentially all employees.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 provisions of SFAS No. 106, “Employers’ Accounting for Postretirement Benefits Other than Pensions.” In December 2003, the Medicare Prescription Drug, Improvement and Modernization Act of 2003 (“the Act”) was signed into law. The Act introduces a prescription drug benefit under Medicare (Medicare Part D) as well as a federal subsidy to sponsors of retiree health care benefit plans that provide a benefit that is at least actuarially equivalent to Medicare Part D. In January 2004, Financial Accounting Standards Board Staff Position No. FAS 106-1, “Accounting and Disclosure Requirements Related to the Medicare Prescription Drug, Improvement and Modernization Act of 2003,” was issued and it permits a sponsor of a postretirement health care plan that provides a prescription drug benefit to make a one-time election to defer accounting for the effects of the Act. The Company has elected to make this deferral, as the specific authoritative guidance on the accounting for the federal subsidy is pending. Therefore, the accumulated postretirement benefit obligation and net postretirement benefit costs in the financial statements and footnote do not reflect the effects of the Act on the plan.</w:t>
      </w:r>
    </w:p>
    <w:p>
      <w:pPr>
        <w:spacing w:after="0" w:line="178" w:lineRule="exact"/>
        <w:rPr>
          <w:sz w:val="20"/>
          <w:szCs w:val="20"/>
          <w:color w:val="auto"/>
        </w:rPr>
      </w:pPr>
    </w:p>
    <w:p>
      <w:pPr>
        <w:ind w:right="40" w:firstLine="286"/>
        <w:spacing w:after="0" w:line="264" w:lineRule="auto"/>
        <w:rPr>
          <w:sz w:val="20"/>
          <w:szCs w:val="20"/>
          <w:color w:val="auto"/>
        </w:rPr>
      </w:pPr>
      <w:r>
        <w:rPr>
          <w:rFonts w:ascii="Arial" w:cs="Arial" w:eastAsia="Arial" w:hAnsi="Arial"/>
          <w:sz w:val="16"/>
          <w:szCs w:val="16"/>
          <w:color w:val="auto"/>
        </w:rPr>
        <w:t>The benefit plan assets and liabilities included in the Company’s financial statements and associated notes reflect management’s assessment as to the long-range performance of its benefit plans. These assumptions are listed below:</w:t>
      </w:r>
    </w:p>
    <w:p>
      <w:pPr>
        <w:spacing w:after="0" w:line="35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540" w:type="dxa"/>
            <w:vAlign w:val="bottom"/>
            <w:gridSpan w:val="3"/>
          </w:tcPr>
          <w:p>
            <w:pPr>
              <w:ind w:left="660"/>
              <w:spacing w:after="0"/>
              <w:rPr>
                <w:sz w:val="20"/>
                <w:szCs w:val="20"/>
                <w:color w:val="auto"/>
              </w:rPr>
            </w:pPr>
            <w:r>
              <w:rPr>
                <w:rFonts w:ascii="Arial" w:cs="Arial" w:eastAsia="Arial" w:hAnsi="Arial"/>
                <w:sz w:val="12"/>
                <w:szCs w:val="12"/>
                <w:b w:val="1"/>
                <w:bCs w:val="1"/>
                <w:color w:val="auto"/>
                <w:w w:val="88"/>
              </w:rPr>
              <w:t>Pension Benefits</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tcPr>
          <w:p>
            <w:pPr>
              <w:ind w:left="540"/>
              <w:spacing w:after="0"/>
              <w:rPr>
                <w:sz w:val="20"/>
                <w:szCs w:val="20"/>
                <w:color w:val="auto"/>
              </w:rPr>
            </w:pPr>
            <w:r>
              <w:rPr>
                <w:rFonts w:ascii="Arial" w:cs="Arial" w:eastAsia="Arial" w:hAnsi="Arial"/>
                <w:sz w:val="12"/>
                <w:szCs w:val="12"/>
                <w:b w:val="1"/>
                <w:bCs w:val="1"/>
                <w:color w:val="auto"/>
                <w:w w:val="91"/>
              </w:rPr>
              <w:t>Other Benefits</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940" w:type="dxa"/>
            <w:vAlign w:val="bottom"/>
          </w:tcPr>
          <w:p>
            <w:pPr>
              <w:jc w:val="right"/>
              <w:ind w:right="291"/>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ind w:right="288"/>
              <w:spacing w:after="0"/>
              <w:rPr>
                <w:sz w:val="20"/>
                <w:szCs w:val="20"/>
                <w:color w:val="auto"/>
              </w:rPr>
            </w:pPr>
            <w:r>
              <w:rPr>
                <w:rFonts w:ascii="Arial" w:cs="Arial" w:eastAsia="Arial" w:hAnsi="Arial"/>
                <w:sz w:val="12"/>
                <w:szCs w:val="12"/>
                <w:b w:val="1"/>
                <w:bCs w:val="1"/>
                <w:color w:val="auto"/>
                <w:w w:val="89"/>
              </w:rPr>
              <w:t>2002</w:t>
            </w:r>
          </w:p>
        </w:tc>
        <w:tc>
          <w:tcPr>
            <w:tcW w:w="1140" w:type="dxa"/>
            <w:vAlign w:val="bottom"/>
            <w:gridSpan w:val="2"/>
          </w:tcPr>
          <w:p>
            <w:pPr>
              <w:jc w:val="right"/>
              <w:ind w:right="231"/>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ind w:right="148"/>
              <w:spacing w:after="0"/>
              <w:rPr>
                <w:sz w:val="20"/>
                <w:szCs w:val="20"/>
                <w:color w:val="auto"/>
              </w:rPr>
            </w:pPr>
            <w:r>
              <w:rPr>
                <w:rFonts w:ascii="Arial" w:cs="Arial" w:eastAsia="Arial" w:hAnsi="Arial"/>
                <w:sz w:val="12"/>
                <w:szCs w:val="12"/>
                <w:b w:val="1"/>
                <w:bCs w:val="1"/>
                <w:color w:val="auto"/>
                <w:w w:val="97"/>
              </w:rPr>
              <w:t>2002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6"/>
                <w:szCs w:val="16"/>
                <w:color w:val="auto"/>
              </w:rPr>
              <w:t>Weighted-average assumptions as of December 31:</w:t>
            </w:r>
          </w:p>
        </w:tc>
        <w:tc>
          <w:tcPr>
            <w:tcW w:w="9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tcPr>
          <w:p>
            <w:pPr>
              <w:ind w:left="260"/>
              <w:spacing w:after="0"/>
              <w:rPr>
                <w:sz w:val="20"/>
                <w:szCs w:val="20"/>
                <w:color w:val="auto"/>
              </w:rPr>
            </w:pPr>
            <w:r>
              <w:rPr>
                <w:rFonts w:ascii="Arial" w:cs="Arial" w:eastAsia="Arial" w:hAnsi="Arial"/>
                <w:sz w:val="16"/>
                <w:szCs w:val="16"/>
                <w:color w:val="auto"/>
              </w:rPr>
              <w:t>Discount rate</w:t>
            </w:r>
          </w:p>
        </w:tc>
        <w:tc>
          <w:tcPr>
            <w:tcW w:w="940" w:type="dxa"/>
            <w:vAlign w:val="bottom"/>
          </w:tcPr>
          <w:p>
            <w:pPr>
              <w:ind w:left="380"/>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auto"/>
              </w:rPr>
              <w:t>6.75%</w:t>
            </w:r>
          </w:p>
        </w:tc>
        <w:tc>
          <w:tcPr>
            <w:tcW w:w="1140" w:type="dxa"/>
            <w:vAlign w:val="bottom"/>
            <w:gridSpan w:val="2"/>
          </w:tcPr>
          <w:p>
            <w:pPr>
              <w:jc w:val="right"/>
              <w:ind w:right="91"/>
              <w:spacing w:after="0"/>
              <w:rPr>
                <w:sz w:val="20"/>
                <w:szCs w:val="20"/>
                <w:color w:val="auto"/>
              </w:rPr>
            </w:pPr>
            <w:r>
              <w:rPr>
                <w:rFonts w:ascii="Arial" w:cs="Arial" w:eastAsia="Arial" w:hAnsi="Arial"/>
                <w:sz w:val="16"/>
                <w:szCs w:val="16"/>
                <w:color w:val="auto"/>
              </w:rPr>
              <w:t>6.00%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6"/>
                <w:szCs w:val="16"/>
                <w:color w:val="auto"/>
                <w:w w:val="88"/>
              </w:rPr>
              <w:t>6.75%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6"/>
                <w:szCs w:val="16"/>
                <w:color w:val="auto"/>
              </w:rPr>
              <w:t>Expected return on plan assets</w:t>
            </w:r>
          </w:p>
        </w:tc>
        <w:tc>
          <w:tcPr>
            <w:tcW w:w="940" w:type="dxa"/>
            <w:vAlign w:val="bottom"/>
            <w:shd w:val="clear" w:color="auto" w:fill="EEEEEE"/>
          </w:tcPr>
          <w:p>
            <w:pPr>
              <w:ind w:left="380"/>
              <w:spacing w:after="0"/>
              <w:rPr>
                <w:sz w:val="20"/>
                <w:szCs w:val="20"/>
                <w:color w:val="auto"/>
              </w:rPr>
            </w:pPr>
            <w:r>
              <w:rPr>
                <w:rFonts w:ascii="Arial" w:cs="Arial" w:eastAsia="Arial" w:hAnsi="Arial"/>
                <w:sz w:val="16"/>
                <w:szCs w:val="16"/>
                <w:color w:val="auto"/>
              </w:rPr>
              <w:t>8.75</w:t>
            </w:r>
          </w:p>
        </w:tc>
        <w:tc>
          <w:tcPr>
            <w:tcW w:w="2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620" w:type="dxa"/>
            <w:vAlign w:val="bottom"/>
            <w:shd w:val="clear" w:color="auto" w:fill="EEEEEE"/>
          </w:tcPr>
          <w:p>
            <w:pPr>
              <w:ind w:left="60"/>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EEEEEE"/>
          </w:tcPr>
          <w:p>
            <w:pPr>
              <w:spacing w:after="0"/>
              <w:rPr>
                <w:sz w:val="16"/>
                <w:szCs w:val="16"/>
                <w:color w:val="auto"/>
              </w:rPr>
            </w:pPr>
          </w:p>
        </w:tc>
        <w:tc>
          <w:tcPr>
            <w:tcW w:w="1320" w:type="dxa"/>
            <w:vAlign w:val="bottom"/>
            <w:gridSpan w:val="3"/>
            <w:shd w:val="clear" w:color="auto" w:fill="EEEEEE"/>
          </w:tcPr>
          <w:p>
            <w:pPr>
              <w:jc w:val="right"/>
              <w:ind w:right="760"/>
              <w:spacing w:after="0"/>
              <w:rPr>
                <w:sz w:val="20"/>
                <w:szCs w:val="20"/>
                <w:color w:val="auto"/>
              </w:rPr>
            </w:pPr>
            <w:r>
              <w:rPr>
                <w:rFonts w:ascii="Arial" w:cs="Arial" w:eastAsia="Arial" w:hAnsi="Arial"/>
                <w:sz w:val="16"/>
                <w:szCs w:val="16"/>
                <w:color w:val="auto"/>
              </w:rPr>
              <w:t>—</w:t>
            </w:r>
          </w:p>
        </w:tc>
        <w:tc>
          <w:tcPr>
            <w:tcW w:w="500" w:type="dxa"/>
            <w:vAlign w:val="bottom"/>
            <w:shd w:val="clear" w:color="auto" w:fill="EEEEEE"/>
          </w:tcPr>
          <w:p>
            <w:pPr>
              <w:jc w:val="right"/>
              <w:ind w:right="1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286"/>
        <w:spacing w:after="0" w:line="256" w:lineRule="auto"/>
        <w:rPr>
          <w:sz w:val="20"/>
          <w:szCs w:val="20"/>
          <w:color w:val="auto"/>
        </w:rPr>
      </w:pPr>
      <w:r>
        <w:rPr>
          <w:rFonts w:ascii="Arial" w:cs="Arial" w:eastAsia="Arial" w:hAnsi="Arial"/>
          <w:sz w:val="16"/>
          <w:szCs w:val="16"/>
          <w:color w:val="auto"/>
        </w:rPr>
        <w:t>To develop the expected long-term rate of return on assets assumption, the Company considered the historical returns and the future expectations for returns for each asset class, as well as the target asset allocation of the pension portfolio and the effect of periodic rebalancing. These results were adjusted for the payment of reasonable expenses of the plan from plan assets. This resulted in the selection of the 8.75% long-term rate of return on assets assumption.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Self-Insurance Expense</w:t>
      </w:r>
    </w:p>
    <w:p>
      <w:pPr>
        <w:spacing w:after="0" w:line="222" w:lineRule="exact"/>
        <w:rPr>
          <w:sz w:val="20"/>
          <w:szCs w:val="20"/>
          <w:color w:val="auto"/>
        </w:rPr>
      </w:pPr>
    </w:p>
    <w:p>
      <w:pPr>
        <w:ind w:right="560" w:firstLine="286"/>
        <w:spacing w:after="0" w:line="264" w:lineRule="auto"/>
        <w:rPr>
          <w:sz w:val="20"/>
          <w:szCs w:val="20"/>
          <w:color w:val="auto"/>
        </w:rPr>
      </w:pPr>
      <w:r>
        <w:rPr>
          <w:rFonts w:ascii="Arial" w:cs="Arial" w:eastAsia="Arial" w:hAnsi="Arial"/>
          <w:sz w:val="16"/>
          <w:szCs w:val="16"/>
          <w:color w:val="auto"/>
        </w:rPr>
        <w:t>The Company self-insures for Worker’s Compensation, Product Liability, General Liability, Auto Liability and Physical Damage. On January 1, 2002, a captive insurance company was formed for all the above risks subsequent to that date.</w:t>
      </w:r>
    </w:p>
    <w:p>
      <w:pPr>
        <w:spacing w:after="0" w:line="192" w:lineRule="exact"/>
        <w:rPr>
          <w:sz w:val="20"/>
          <w:szCs w:val="20"/>
          <w:color w:val="auto"/>
        </w:rPr>
      </w:pPr>
    </w:p>
    <w:p>
      <w:pPr>
        <w:ind w:right="220" w:firstLine="286"/>
        <w:spacing w:after="0" w:line="264" w:lineRule="auto"/>
        <w:rPr>
          <w:sz w:val="20"/>
          <w:szCs w:val="20"/>
          <w:color w:val="auto"/>
        </w:rPr>
      </w:pPr>
      <w:r>
        <w:rPr>
          <w:rFonts w:ascii="Arial" w:cs="Arial" w:eastAsia="Arial" w:hAnsi="Arial"/>
          <w:sz w:val="16"/>
          <w:szCs w:val="16"/>
          <w:color w:val="auto"/>
        </w:rPr>
        <w:t>The Company utilizes the services of a third party actuary to assist in the determination of its self-insurance expense and liabilities. The expense and liabilities were determined based on historical company claims information, as well as industry factors and trends in the level of such claims and payments.</w:t>
      </w:r>
    </w:p>
    <w:p>
      <w:pPr>
        <w:spacing w:after="0" w:line="192" w:lineRule="exact"/>
        <w:rPr>
          <w:sz w:val="20"/>
          <w:szCs w:val="20"/>
          <w:color w:val="auto"/>
        </w:rPr>
      </w:pPr>
    </w:p>
    <w:p>
      <w:pPr>
        <w:ind w:right="180" w:firstLine="286"/>
        <w:spacing w:after="0" w:line="301" w:lineRule="auto"/>
        <w:rPr>
          <w:sz w:val="20"/>
          <w:szCs w:val="20"/>
          <w:color w:val="auto"/>
        </w:rPr>
      </w:pPr>
      <w:r>
        <w:rPr>
          <w:rFonts w:ascii="Arial" w:cs="Arial" w:eastAsia="Arial" w:hAnsi="Arial"/>
          <w:sz w:val="14"/>
          <w:szCs w:val="14"/>
          <w:color w:val="auto"/>
        </w:rPr>
        <w:t>The Company’s self-insurance reserves, calculated on an undiscounted basis, as of December 31, 2003, represent the best estimate of the future payments to be made on losses reported and unreported for 2003 and prior years. The majority of the Company’s self-insured risks (excluding Auto and Physical Liability) have relatively long payout patterns. The Company’s accounting policy is not to discount its self-insurance reserves. The Company maintains safety and manufacturing programs that are designed to improve the safety and effectiveness of its business processes, and as a result reduce the level and severity of its various self-insurance risks.</w:t>
      </w:r>
    </w:p>
    <w:p>
      <w:pPr>
        <w:spacing w:after="0" w:line="170" w:lineRule="exact"/>
        <w:rPr>
          <w:sz w:val="20"/>
          <w:szCs w:val="20"/>
          <w:color w:val="auto"/>
        </w:rPr>
      </w:pPr>
    </w:p>
    <w:p>
      <w:pPr>
        <w:ind w:right="460" w:firstLine="286"/>
        <w:spacing w:after="0" w:line="336" w:lineRule="auto"/>
        <w:rPr>
          <w:sz w:val="20"/>
          <w:szCs w:val="20"/>
          <w:color w:val="auto"/>
        </w:rPr>
      </w:pPr>
      <w:r>
        <w:rPr>
          <w:rFonts w:ascii="Arial" w:cs="Arial" w:eastAsia="Arial" w:hAnsi="Arial"/>
          <w:sz w:val="14"/>
          <w:szCs w:val="14"/>
          <w:color w:val="auto"/>
        </w:rPr>
        <w:t>The Company’s reserves for self-insurance risks total $51.8 million and $48.2 million at December 31, 2003 and 2002, respectively. Actual payments for claims reserved at December 31, 2003 may vary depending on various factors including the development and ultimate settlement of reported and unreported claims.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w:t>
      </w:r>
    </w:p>
    <w:p>
      <w:pPr>
        <w:spacing w:after="0" w:line="228" w:lineRule="exact"/>
        <w:rPr>
          <w:sz w:val="20"/>
          <w:szCs w:val="20"/>
          <w:color w:val="auto"/>
        </w:rPr>
      </w:pPr>
    </w:p>
    <w:p>
      <w:pPr>
        <w:jc w:val="both"/>
        <w:ind w:right="20" w:firstLine="286"/>
        <w:spacing w:after="0" w:line="287" w:lineRule="auto"/>
        <w:rPr>
          <w:sz w:val="20"/>
          <w:szCs w:val="20"/>
          <w:color w:val="auto"/>
        </w:rPr>
      </w:pPr>
      <w:r>
        <w:rPr>
          <w:rFonts w:ascii="Arial" w:cs="Arial" w:eastAsia="Arial" w:hAnsi="Arial"/>
          <w:sz w:val="14"/>
          <w:szCs w:val="14"/>
          <w:color w:val="auto"/>
        </w:rPr>
        <w:t>EITF Issue 04-8, “The Effect of Contingently Convertible Debt on Diluted Earnings per Share,” (“EITF 04-8”) was finalized at the end of September 2004 and becomes effective for the Company for all periods ending after December 15, 2004. EITF 04-8 will be applied by retrospectively restating previously reported earnings per share (“EPS”). EITF 04-8 will require that contingently convertible debt securities with a market price trigger should be included in diluted EPS, regardless of whether the market price trigger has been met.</w:t>
      </w:r>
    </w:p>
    <w:p>
      <w:pPr>
        <w:ind w:right="180"/>
        <w:spacing w:after="0" w:line="257" w:lineRule="auto"/>
        <w:rPr>
          <w:sz w:val="20"/>
          <w:szCs w:val="20"/>
          <w:color w:val="auto"/>
        </w:rPr>
      </w:pPr>
      <w:r>
        <w:rPr>
          <w:rFonts w:ascii="Arial" w:cs="Arial" w:eastAsia="Arial" w:hAnsi="Arial"/>
          <w:sz w:val="16"/>
          <w:szCs w:val="16"/>
          <w:color w:val="auto"/>
        </w:rPr>
        <w:t>Contingently convertible debt securities are generally convertible into common shares of the issuer after the price of the common stock has exceeded a predetermined threshold for a specific time period.</w:t>
      </w:r>
    </w:p>
    <w:p>
      <w:pPr>
        <w:spacing w:after="0" w:line="197" w:lineRule="exact"/>
        <w:rPr>
          <w:sz w:val="20"/>
          <w:szCs w:val="20"/>
          <w:color w:val="auto"/>
        </w:rPr>
      </w:pPr>
    </w:p>
    <w:p>
      <w:pPr>
        <w:ind w:firstLine="286"/>
        <w:spacing w:after="0" w:line="297" w:lineRule="auto"/>
        <w:rPr>
          <w:sz w:val="20"/>
          <w:szCs w:val="20"/>
          <w:color w:val="auto"/>
        </w:rPr>
      </w:pPr>
      <w:r>
        <w:rPr>
          <w:rFonts w:ascii="Arial" w:cs="Arial" w:eastAsia="Arial" w:hAnsi="Arial"/>
          <w:sz w:val="14"/>
          <w:szCs w:val="14"/>
          <w:color w:val="auto"/>
        </w:rPr>
        <w:t>On May 8, 2002, the Company issued $143.8 million of 6.25% convertible subordinated notes (“Notes”). Each $1,000 Note is convertible into 55.29 shares of common stock. Redemption can occur at the Company’s option beginning in June 2005 if the market price of the Company’s Common Stock has exceeded $23.52 during specified periods and at the option of the Note holders if the market price of the Company’s Common Stock has exceeded $19.90 during specified periods or if the market price of the Notes is less than 95% of the market price of the stock multiplied by 55.29. Upon adoption of EITF 04-8, the Company will include 7.9 million shares of common stock and exclude the corresponding interest expense and amortization of deferred financing costs associated with the Notes in its diluted EPS computations.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compares the diluted EPS computations before and after the adoption of EITF 04-8 (in millions,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w w:val="89"/>
              </w:rPr>
              <w:t>Years Ended December 31,</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8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gridSpan w:val="2"/>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8"/>
              </w:rPr>
              <w:t>2003 Before</w:t>
            </w:r>
          </w:p>
        </w:tc>
        <w:tc>
          <w:tcPr>
            <w:tcW w:w="30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2003 After</w:t>
            </w:r>
          </w:p>
        </w:tc>
        <w:tc>
          <w:tcPr>
            <w:tcW w:w="320" w:type="dxa"/>
            <w:vAlign w:val="bottom"/>
          </w:tcPr>
          <w:p>
            <w:pPr>
              <w:spacing w:after="0"/>
              <w:rPr>
                <w:sz w:val="18"/>
                <w:szCs w:val="18"/>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2002 Before</w:t>
            </w:r>
          </w:p>
        </w:tc>
        <w:tc>
          <w:tcPr>
            <w:tcW w:w="30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2002 After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1"/>
              </w:rPr>
              <w:t>Adoption</w:t>
            </w:r>
          </w:p>
        </w:tc>
        <w:tc>
          <w:tcPr>
            <w:tcW w:w="300" w:type="dxa"/>
            <w:vAlign w:val="bottom"/>
          </w:tcPr>
          <w:p>
            <w:pPr>
              <w:spacing w:after="0"/>
              <w:rPr>
                <w:sz w:val="13"/>
                <w:szCs w:val="13"/>
                <w:color w:val="auto"/>
              </w:rPr>
            </w:pPr>
          </w:p>
        </w:tc>
        <w:tc>
          <w:tcPr>
            <w:tcW w:w="1240" w:type="dxa"/>
            <w:vAlign w:val="bottom"/>
            <w:gridSpan w:val="4"/>
          </w:tcPr>
          <w:p>
            <w:pPr>
              <w:jc w:val="center"/>
              <w:spacing w:after="0"/>
              <w:rPr>
                <w:sz w:val="20"/>
                <w:szCs w:val="20"/>
                <w:color w:val="auto"/>
              </w:rPr>
            </w:pPr>
            <w:r>
              <w:rPr>
                <w:rFonts w:ascii="Arial" w:cs="Arial" w:eastAsia="Arial" w:hAnsi="Arial"/>
                <w:sz w:val="12"/>
                <w:szCs w:val="12"/>
                <w:b w:val="1"/>
                <w:bCs w:val="1"/>
                <w:color w:val="auto"/>
                <w:w w:val="91"/>
              </w:rPr>
              <w:t>Adoption</w:t>
            </w:r>
          </w:p>
        </w:tc>
        <w:tc>
          <w:tcPr>
            <w:tcW w:w="320" w:type="dxa"/>
            <w:vAlign w:val="bottom"/>
          </w:tcPr>
          <w:p>
            <w:pPr>
              <w:spacing w:after="0"/>
              <w:rPr>
                <w:sz w:val="13"/>
                <w:szCs w:val="13"/>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Adoption</w:t>
            </w:r>
          </w:p>
        </w:tc>
        <w:tc>
          <w:tcPr>
            <w:tcW w:w="300" w:type="dxa"/>
            <w:vAlign w:val="bottom"/>
          </w:tcPr>
          <w:p>
            <w:pPr>
              <w:spacing w:after="0"/>
              <w:rPr>
                <w:sz w:val="13"/>
                <w:szCs w:val="13"/>
                <w:color w:val="auto"/>
              </w:rPr>
            </w:pPr>
          </w:p>
        </w:tc>
        <w:tc>
          <w:tcPr>
            <w:tcW w:w="1360" w:type="dxa"/>
            <w:vAlign w:val="bottom"/>
            <w:gridSpan w:val="3"/>
          </w:tcPr>
          <w:p>
            <w:pPr>
              <w:ind w:left="440"/>
              <w:spacing w:after="0"/>
              <w:rPr>
                <w:sz w:val="20"/>
                <w:szCs w:val="20"/>
                <w:color w:val="auto"/>
              </w:rPr>
            </w:pPr>
            <w:r>
              <w:rPr>
                <w:rFonts w:ascii="Arial" w:cs="Arial" w:eastAsia="Arial" w:hAnsi="Arial"/>
                <w:sz w:val="12"/>
                <w:szCs w:val="12"/>
                <w:b w:val="1"/>
                <w:bCs w:val="1"/>
                <w:color w:val="auto"/>
              </w:rPr>
              <w:t>Adoption</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08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540" w:type="dxa"/>
            <w:vAlign w:val="bottom"/>
            <w:shd w:val="clear" w:color="auto" w:fill="EEEEEE"/>
          </w:tcPr>
          <w:p>
            <w:pPr>
              <w:spacing w:after="0"/>
              <w:rPr>
                <w:sz w:val="16"/>
                <w:szCs w:val="16"/>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42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EEEEE"/>
          </w:tcPr>
          <w:p>
            <w:pPr>
              <w:jc w:val="right"/>
              <w:ind w:right="500"/>
              <w:spacing w:after="0"/>
              <w:rPr>
                <w:sz w:val="20"/>
                <w:szCs w:val="20"/>
                <w:color w:val="auto"/>
              </w:rPr>
            </w:pPr>
            <w:r>
              <w:rPr>
                <w:rFonts w:ascii="Arial" w:cs="Arial" w:eastAsia="Arial" w:hAnsi="Arial"/>
                <w:sz w:val="16"/>
                <w:szCs w:val="16"/>
                <w:color w:val="auto"/>
                <w:w w:val="82"/>
              </w:rPr>
              <w:t>(205.0)</w:t>
            </w:r>
          </w:p>
        </w:tc>
        <w:tc>
          <w:tcPr>
            <w:tcW w:w="820" w:type="dxa"/>
            <w:vAlign w:val="bottom"/>
            <w:gridSpan w:val="2"/>
            <w:shd w:val="clear" w:color="auto" w:fill="EEEEEE"/>
          </w:tcPr>
          <w:p>
            <w:pPr>
              <w:ind w:left="7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w w:val="86"/>
              </w:rPr>
              <w:t>(205.0)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80" w:type="dxa"/>
            <w:vAlign w:val="bottom"/>
          </w:tcPr>
          <w:p>
            <w:pPr>
              <w:spacing w:after="0"/>
              <w:rPr>
                <w:sz w:val="20"/>
                <w:szCs w:val="20"/>
                <w:color w:val="auto"/>
              </w:rPr>
            </w:pPr>
            <w:r>
              <w:rPr>
                <w:rFonts w:ascii="Arial" w:cs="Arial" w:eastAsia="Arial" w:hAnsi="Arial"/>
                <w:sz w:val="16"/>
                <w:szCs w:val="16"/>
                <w:color w:val="auto"/>
                <w:w w:val="94"/>
              </w:rPr>
              <w:t>Add: after-tax interest expense and amortization of deferred financing costs</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on Notes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6.3</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 as adjusted</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540" w:type="dxa"/>
            <w:vAlign w:val="bottom"/>
            <w:shd w:val="clear" w:color="auto" w:fill="EEEEEE"/>
          </w:tcPr>
          <w:p>
            <w:pPr>
              <w:spacing w:after="0"/>
              <w:rPr>
                <w:sz w:val="16"/>
                <w:szCs w:val="16"/>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$90.7</w:t>
            </w:r>
          </w:p>
        </w:tc>
        <w:tc>
          <w:tcPr>
            <w:tcW w:w="42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EEEEE"/>
          </w:tcPr>
          <w:p>
            <w:pPr>
              <w:jc w:val="right"/>
              <w:ind w:right="500"/>
              <w:spacing w:after="0"/>
              <w:rPr>
                <w:sz w:val="20"/>
                <w:szCs w:val="20"/>
                <w:color w:val="auto"/>
              </w:rPr>
            </w:pPr>
            <w:r>
              <w:rPr>
                <w:rFonts w:ascii="Arial" w:cs="Arial" w:eastAsia="Arial" w:hAnsi="Arial"/>
                <w:sz w:val="16"/>
                <w:szCs w:val="16"/>
                <w:color w:val="auto"/>
                <w:w w:val="82"/>
              </w:rPr>
              <w:t>(205.0)</w:t>
            </w:r>
          </w:p>
        </w:tc>
        <w:tc>
          <w:tcPr>
            <w:tcW w:w="820" w:type="dxa"/>
            <w:vAlign w:val="bottom"/>
            <w:gridSpan w:val="2"/>
            <w:shd w:val="clear" w:color="auto" w:fill="EEEEEE"/>
          </w:tcPr>
          <w:p>
            <w:pPr>
              <w:ind w:left="7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w w:val="86"/>
              </w:rPr>
              <w:t>(200.9)</w:t>
            </w:r>
          </w:p>
        </w:tc>
        <w:tc>
          <w:tcPr>
            <w:tcW w:w="0" w:type="dxa"/>
            <w:vAlign w:val="bottom"/>
          </w:tcPr>
          <w:p>
            <w:pPr>
              <w:spacing w:after="0"/>
              <w:rPr>
                <w:sz w:val="1"/>
                <w:szCs w:val="1"/>
                <w:color w:val="auto"/>
              </w:rPr>
            </w:pPr>
          </w:p>
        </w:tc>
      </w:tr>
      <w:tr>
        <w:trPr>
          <w:trHeight w:val="127"/>
        </w:trPr>
        <w:tc>
          <w:tcPr>
            <w:tcW w:w="510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5100" w:type="dxa"/>
            <w:vAlign w:val="bottom"/>
            <w:gridSpan w:val="2"/>
          </w:tcPr>
          <w:p>
            <w:pPr>
              <w:spacing w:after="0"/>
              <w:rPr>
                <w:sz w:val="20"/>
                <w:szCs w:val="20"/>
                <w:color w:val="auto"/>
              </w:rPr>
            </w:pPr>
            <w:r>
              <w:rPr>
                <w:rFonts w:ascii="Arial" w:cs="Arial" w:eastAsia="Arial" w:hAnsi="Arial"/>
                <w:sz w:val="16"/>
                <w:szCs w:val="16"/>
                <w:color w:val="auto"/>
              </w:rPr>
              <w:t>Weighted average shares outstanding</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58.4</w:t>
            </w:r>
          </w:p>
        </w:tc>
        <w:tc>
          <w:tcPr>
            <w:tcW w:w="5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58.4</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57.3</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w w:val="96"/>
              </w:rPr>
              <w:t>Effect of diluted securities attributable to stock options, performance share</w:t>
            </w: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shd w:val="clear" w:color="auto" w:fill="EEEEEE"/>
          </w:tcPr>
          <w:p>
            <w:pPr>
              <w:ind w:left="100"/>
              <w:spacing w:after="0"/>
              <w:rPr>
                <w:sz w:val="20"/>
                <w:szCs w:val="20"/>
                <w:color w:val="auto"/>
              </w:rPr>
            </w:pPr>
            <w:r>
              <w:rPr>
                <w:rFonts w:ascii="Arial" w:cs="Arial" w:eastAsia="Arial" w:hAnsi="Arial"/>
                <w:sz w:val="16"/>
                <w:szCs w:val="16"/>
                <w:color w:val="auto"/>
              </w:rPr>
              <w:t>awards and Notes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w:t>
            </w:r>
          </w:p>
        </w:tc>
        <w:tc>
          <w:tcPr>
            <w:tcW w:w="540" w:type="dxa"/>
            <w:vAlign w:val="bottom"/>
            <w:shd w:val="clear" w:color="auto" w:fill="EEEEEE"/>
          </w:tcPr>
          <w:p>
            <w:pPr>
              <w:spacing w:after="0"/>
              <w:rPr>
                <w:sz w:val="17"/>
                <w:szCs w:val="17"/>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9.9</w:t>
            </w:r>
          </w:p>
        </w:tc>
        <w:tc>
          <w:tcPr>
            <w:tcW w:w="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w:t>
            </w:r>
          </w:p>
        </w:tc>
        <w:tc>
          <w:tcPr>
            <w:tcW w:w="5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6.8</w:t>
            </w: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100" w:type="dxa"/>
            <w:vAlign w:val="bottom"/>
            <w:gridSpan w:val="2"/>
          </w:tcPr>
          <w:p>
            <w:pPr>
              <w:spacing w:after="0"/>
              <w:rPr>
                <w:sz w:val="8"/>
                <w:szCs w:val="8"/>
                <w:color w:val="auto"/>
              </w:rPr>
            </w:pPr>
          </w:p>
        </w:tc>
        <w:tc>
          <w:tcPr>
            <w:tcW w:w="54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spacing w:after="0"/>
              <w:rPr>
                <w:sz w:val="20"/>
                <w:szCs w:val="20"/>
                <w:color w:val="auto"/>
              </w:rPr>
            </w:pPr>
            <w:r>
              <w:rPr>
                <w:rFonts w:ascii="Arial" w:cs="Arial" w:eastAsia="Arial" w:hAnsi="Arial"/>
                <w:sz w:val="16"/>
                <w:szCs w:val="16"/>
                <w:color w:val="auto"/>
              </w:rPr>
              <w:t>Weighted average shares outstanding, as adjusted</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60.4</w:t>
            </w:r>
          </w:p>
        </w:tc>
        <w:tc>
          <w:tcPr>
            <w:tcW w:w="54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68.3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58.9</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64.1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6"/>
                <w:szCs w:val="16"/>
                <w:color w:val="auto"/>
              </w:rPr>
              <w:t>Diluted earnings (loss) per share</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$1.40</w:t>
            </w:r>
          </w:p>
        </w:tc>
        <w:tc>
          <w:tcPr>
            <w:tcW w:w="540" w:type="dxa"/>
            <w:vAlign w:val="bottom"/>
            <w:shd w:val="clear" w:color="auto" w:fill="EEEEEE"/>
          </w:tcPr>
          <w:p>
            <w:pPr>
              <w:spacing w:after="0"/>
              <w:rPr>
                <w:sz w:val="16"/>
                <w:szCs w:val="16"/>
                <w:color w:val="auto"/>
              </w:rPr>
            </w:pP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$1.33</w:t>
            </w:r>
          </w:p>
        </w:tc>
        <w:tc>
          <w:tcPr>
            <w:tcW w:w="42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EEEEE"/>
          </w:tcPr>
          <w:p>
            <w:pPr>
              <w:jc w:val="right"/>
              <w:ind w:right="500"/>
              <w:spacing w:after="0"/>
              <w:rPr>
                <w:sz w:val="20"/>
                <w:szCs w:val="20"/>
                <w:color w:val="auto"/>
              </w:rPr>
            </w:pPr>
            <w:r>
              <w:rPr>
                <w:rFonts w:ascii="Arial" w:cs="Arial" w:eastAsia="Arial" w:hAnsi="Arial"/>
                <w:sz w:val="16"/>
                <w:szCs w:val="16"/>
                <w:color w:val="auto"/>
              </w:rPr>
              <w:t>(3.48)</w:t>
            </w:r>
          </w:p>
        </w:tc>
        <w:tc>
          <w:tcPr>
            <w:tcW w:w="820" w:type="dxa"/>
            <w:vAlign w:val="bottom"/>
            <w:gridSpan w:val="2"/>
            <w:shd w:val="clear" w:color="auto" w:fill="EEEEEE"/>
          </w:tcPr>
          <w:p>
            <w:pPr>
              <w:ind w:left="76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-1049655</wp:posOffset>
            </wp:positionV>
            <wp:extent cx="1270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-1049655</wp:posOffset>
            </wp:positionV>
            <wp:extent cx="1270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-1049655</wp:posOffset>
            </wp:positionV>
            <wp:extent cx="1270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-1049655</wp:posOffset>
            </wp:positionV>
            <wp:extent cx="1270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-1049655</wp:posOffset>
            </wp:positionV>
            <wp:extent cx="1270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-1049655</wp:posOffset>
            </wp:positionV>
            <wp:extent cx="1270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6984365</wp:posOffset>
            </wp:positionH>
            <wp:positionV relativeFrom="paragraph">
              <wp:posOffset>-1049655</wp:posOffset>
            </wp:positionV>
            <wp:extent cx="127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-1049655</wp:posOffset>
            </wp:positionV>
            <wp:extent cx="127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-34925</wp:posOffset>
            </wp:positionV>
            <wp:extent cx="1270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-34925</wp:posOffset>
            </wp:positionV>
            <wp:extent cx="1270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-34925</wp:posOffset>
            </wp:positionV>
            <wp:extent cx="1270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-34925</wp:posOffset>
            </wp:positionV>
            <wp:extent cx="1270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-34925</wp:posOffset>
            </wp:positionV>
            <wp:extent cx="1270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-34925</wp:posOffset>
            </wp:positionV>
            <wp:extent cx="1270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6984365</wp:posOffset>
            </wp:positionH>
            <wp:positionV relativeFrom="paragraph">
              <wp:posOffset>-34925</wp:posOffset>
            </wp:positionV>
            <wp:extent cx="1270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-34925</wp:posOffset>
            </wp:positionV>
            <wp:extent cx="1270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EITF 04-8 will have no impact on the years presented prior to 2002 as the Notes were issued on May 8,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Service Experts Turnaround Plan</w:t>
      </w:r>
    </w:p>
    <w:p>
      <w:pPr>
        <w:spacing w:after="0" w:line="222" w:lineRule="exact"/>
        <w:rPr>
          <w:sz w:val="20"/>
          <w:szCs w:val="20"/>
          <w:color w:val="auto"/>
        </w:rPr>
      </w:pPr>
    </w:p>
    <w:p>
      <w:pPr>
        <w:ind w:right="80" w:firstLine="286"/>
        <w:spacing w:after="0" w:line="264" w:lineRule="auto"/>
        <w:rPr>
          <w:sz w:val="20"/>
          <w:szCs w:val="20"/>
          <w:color w:val="auto"/>
        </w:rPr>
      </w:pPr>
      <w:r>
        <w:rPr>
          <w:rFonts w:ascii="Arial" w:cs="Arial" w:eastAsia="Arial" w:hAnsi="Arial"/>
          <w:sz w:val="16"/>
          <w:szCs w:val="16"/>
          <w:color w:val="auto"/>
        </w:rPr>
        <w:t>In April 2004, the Company announced the specifics of a turnaround plan designed to improve the performance of its Service Experts business segment. The plan realigns Service Experts’ dealer service centers to focus on service and replacement opportunities in the residential and light commercial markets.</w:t>
      </w:r>
    </w:p>
    <w:p>
      <w:pPr>
        <w:spacing w:after="0" w:line="192" w:lineRule="exact"/>
        <w:rPr>
          <w:sz w:val="20"/>
          <w:szCs w:val="20"/>
          <w:color w:val="auto"/>
        </w:rPr>
      </w:pPr>
    </w:p>
    <w:p>
      <w:pPr>
        <w:jc w:val="both"/>
        <w:ind w:right="320" w:firstLine="286"/>
        <w:spacing w:after="0" w:line="310" w:lineRule="auto"/>
        <w:rPr>
          <w:sz w:val="20"/>
          <w:szCs w:val="20"/>
          <w:color w:val="auto"/>
        </w:rPr>
      </w:pPr>
      <w:r>
        <w:rPr>
          <w:rFonts w:ascii="Arial" w:cs="Arial" w:eastAsia="Arial" w:hAnsi="Arial"/>
          <w:sz w:val="14"/>
          <w:szCs w:val="14"/>
          <w:color w:val="auto"/>
        </w:rPr>
        <w:t>The Company identified 130 dealer service centers, whose primary business is residential and light commercial service and replacement, which comprise the ongoing Service Experts business segment. LII intends to divest the remaining 47 centers, in addition to the previously announced closure of four centers. The 47 centers that are no longer a part of Service Experts are organized under a new entity and will be classified as a discontinued business and managed separately.</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September 30, 2004, 28 of the 47 centers identified for divestiture have been sold and the Company anticipates the remaining centers will be divested by the end of 2004.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Cash proceeds from the sale of these centers and related tax effects are expected to more than offset the cash expenses of divestiture.</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Service Experts Goodwill Impairment</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Statement of Financial Accounting Standards No. 142, “Goodwill and Other Intangible Assets,” LII is required, at least annually, to review the carrying value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goodwill on its books, which at December 31, 2003 amounted to $447.3 million. LII completed this review in the first quarter of 2004 and took a goodwill impairment charge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$221.6 million ($196.9 million, net of tax) associated with its Service Experts unit. Fair value of the reporting unit was determined consistent with the method described in Note 2. This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impairment will be recorded in operating expenses on the consolidated statement of operations in 2004.</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Pre-payment of Long-term Debt</w:t>
      </w:r>
    </w:p>
    <w:p>
      <w:pPr>
        <w:spacing w:after="0" w:line="222" w:lineRule="exact"/>
        <w:rPr>
          <w:sz w:val="20"/>
          <w:szCs w:val="20"/>
          <w:color w:val="auto"/>
        </w:rPr>
      </w:pPr>
    </w:p>
    <w:p>
      <w:pPr>
        <w:ind w:right="200" w:firstLine="286"/>
        <w:spacing w:after="0" w:line="264" w:lineRule="auto"/>
        <w:rPr>
          <w:sz w:val="20"/>
          <w:szCs w:val="20"/>
          <w:color w:val="auto"/>
        </w:rPr>
      </w:pPr>
      <w:r>
        <w:rPr>
          <w:rFonts w:ascii="Arial" w:cs="Arial" w:eastAsia="Arial" w:hAnsi="Arial"/>
          <w:sz w:val="16"/>
          <w:szCs w:val="16"/>
          <w:color w:val="auto"/>
        </w:rPr>
        <w:t>In June 2004, LII made a pre-payment on its long-term debt of $35 million. The long-term debt was scheduled to have been repaid in the third quarter of 2005. The pre-payment make-whole amount associated with the debt was $1.9 million.</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3"/>
          <w:szCs w:val="13"/>
          <w:b w:val="1"/>
          <w:bCs w:val="1"/>
          <w:i w:val="1"/>
          <w:iCs w:val="1"/>
          <w:color w:val="auto"/>
        </w:rPr>
        <w:t>Quantitative and Qualitative Disclosures About Market Risk</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information required by this item is included under Item 7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3"/>
          <w:szCs w:val="13"/>
          <w:b w:val="1"/>
          <w:bCs w:val="1"/>
          <w:i w:val="1"/>
          <w:iCs w:val="1"/>
          <w:color w:val="auto"/>
        </w:rPr>
        <w:t>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Board of Directors of</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Lennox International Inc.:</w:t>
      </w:r>
    </w:p>
    <w:p>
      <w:pPr>
        <w:spacing w:after="0" w:line="222" w:lineRule="exact"/>
        <w:rPr>
          <w:sz w:val="20"/>
          <w:szCs w:val="20"/>
          <w:color w:val="auto"/>
        </w:rPr>
      </w:pPr>
    </w:p>
    <w:p>
      <w:pPr>
        <w:ind w:right="60" w:firstLine="286"/>
        <w:spacing w:after="0" w:line="252" w:lineRule="auto"/>
        <w:rPr>
          <w:sz w:val="20"/>
          <w:szCs w:val="20"/>
          <w:color w:val="auto"/>
        </w:rPr>
      </w:pPr>
      <w:r>
        <w:rPr>
          <w:rFonts w:ascii="Arial" w:cs="Arial" w:eastAsia="Arial" w:hAnsi="Arial"/>
          <w:sz w:val="16"/>
          <w:szCs w:val="16"/>
          <w:color w:val="auto"/>
        </w:rPr>
        <w:t>We have audited the consolidated balance sheets of Lennox International Inc. and subsidiaries as of December 31, 2003 and 2002, and the related consolidated statements of operations, stockholders’ equity and cash flows for the years then ended. These consolidated financial statements are the responsibility of the Company’s management. Our responsibility is to express an opinion on these financial statements based on our audits. The consolidated financial statements of Lennox International Inc., for the year ended December 31, 2001, were audited by other auditors who have ceased operations. Those auditors expressed an unqualified opinion on those financial statements and financial statement schedule, before the revision described in Note 2 (under the heading “Goodwill and Other Intangible Assets”) to the consolidated financial statements, in their report dated February 6, 2002.</w:t>
      </w:r>
    </w:p>
    <w:p>
      <w:pPr>
        <w:spacing w:after="0" w:line="200" w:lineRule="exact"/>
        <w:rPr>
          <w:sz w:val="20"/>
          <w:szCs w:val="20"/>
          <w:color w:val="auto"/>
        </w:rPr>
      </w:pPr>
    </w:p>
    <w:p>
      <w:pPr>
        <w:ind w:right="80" w:firstLine="286"/>
        <w:spacing w:after="0" w:line="30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jc w:val="both"/>
        <w:ind w:right="60" w:firstLine="286"/>
        <w:spacing w:after="0" w:line="301"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Lennox International Inc. and subsidiaries as of December 31, 2003 and 2002, and the results of its operations and its cash flows for the years then ended in conformity with accounting principles generally accepted in the United States of America. Also in our opinion, Schedule II — Valuation and Qualifying Accounts and Reserves for the years ended December 31, 2003 and 2002, when considered in relation to the basic financial statements taken as a whole, presents fairly, in all material respects, the information set forth.</w:t>
      </w:r>
    </w:p>
    <w:p>
      <w:pPr>
        <w:spacing w:after="0" w:line="170" w:lineRule="exact"/>
        <w:rPr>
          <w:sz w:val="20"/>
          <w:szCs w:val="20"/>
          <w:color w:val="auto"/>
        </w:rPr>
      </w:pPr>
    </w:p>
    <w:p>
      <w:pPr>
        <w:ind w:firstLine="286"/>
        <w:spacing w:after="0" w:line="264" w:lineRule="auto"/>
        <w:rPr>
          <w:sz w:val="20"/>
          <w:szCs w:val="20"/>
          <w:color w:val="auto"/>
        </w:rPr>
      </w:pPr>
      <w:r>
        <w:rPr>
          <w:rFonts w:ascii="Arial" w:cs="Arial" w:eastAsia="Arial" w:hAnsi="Arial"/>
          <w:sz w:val="16"/>
          <w:szCs w:val="16"/>
          <w:color w:val="auto"/>
        </w:rPr>
        <w:t>As discussed in Note 3 to the consolidated financial statements, Lennox International Inc. and subsidiaries has restated its consolidated balance sheet as of December 31, 2002, and the related consolidated statements of operations, stockholders’ equity, and cash flows for the year then ended.</w:t>
      </w:r>
    </w:p>
    <w:p>
      <w:pPr>
        <w:spacing w:after="0" w:line="192" w:lineRule="exact"/>
        <w:rPr>
          <w:sz w:val="20"/>
          <w:szCs w:val="20"/>
          <w:color w:val="auto"/>
        </w:rPr>
      </w:pPr>
    </w:p>
    <w:p>
      <w:pPr>
        <w:ind w:right="200" w:firstLine="286"/>
        <w:spacing w:after="0" w:line="336" w:lineRule="auto"/>
        <w:rPr>
          <w:sz w:val="20"/>
          <w:szCs w:val="20"/>
          <w:color w:val="auto"/>
        </w:rPr>
      </w:pPr>
      <w:r>
        <w:rPr>
          <w:rFonts w:ascii="Arial" w:cs="Arial" w:eastAsia="Arial" w:hAnsi="Arial"/>
          <w:sz w:val="14"/>
          <w:szCs w:val="14"/>
          <w:color w:val="auto"/>
        </w:rPr>
        <w:t>As discussed in Note 2 (under the heading “Goodwill and Other Intangible Assets”) to the consolidated financial statements, the Company changed its method of accounting for goodwill and other intangible assets in 2002 to conform to Statement of Financial Accounting Standard (SFAS) No. 142, Goodwill and Other Intangible Assets.</w:t>
      </w:r>
    </w:p>
    <w:p>
      <w:pPr>
        <w:spacing w:after="0" w:line="146" w:lineRule="exact"/>
        <w:rPr>
          <w:sz w:val="20"/>
          <w:szCs w:val="20"/>
          <w:color w:val="auto"/>
        </w:rPr>
      </w:pPr>
    </w:p>
    <w:p>
      <w:pPr>
        <w:ind w:right="180" w:firstLine="286"/>
        <w:spacing w:after="0" w:line="297" w:lineRule="auto"/>
        <w:rPr>
          <w:sz w:val="20"/>
          <w:szCs w:val="20"/>
          <w:color w:val="auto"/>
        </w:rPr>
      </w:pPr>
      <w:r>
        <w:rPr>
          <w:rFonts w:ascii="Arial" w:cs="Arial" w:eastAsia="Arial" w:hAnsi="Arial"/>
          <w:sz w:val="14"/>
          <w:szCs w:val="14"/>
          <w:color w:val="auto"/>
        </w:rPr>
        <w:t>As discussed above, the consolidated financial statements and financial statement schedule of Lennox International Inc. for the year ended December 31, 2001 were audited by other auditors who have ceased operations. As described in Note 2, these financial statements have been revised to include the transitional disclosures required by SFAS No. 142, Goodwill and Other Intangible Assets, which were adopted by the Company as of January 1, 2002. In our opinion, the disclosures for 2001 in Note 2 are appropriate. However, we were not engaged to audit, review, or apply any procedures to the 2001 consolidated financial statements of Lennox International Inc. other than with respect to such disclosures and, accordingly, we do not express an opinion or any other form of assurance on the 2001 consolidated financial statements taken as a whole.</w:t>
      </w:r>
    </w:p>
    <w:p>
      <w:pPr>
        <w:spacing w:after="0" w:line="14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KPMG LLP</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October 5, 2004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7" w:name="page38"/>
    <w:bookmarkEnd w:id="37"/>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64"/>
        <w:spacing w:after="0"/>
        <w:rPr>
          <w:sz w:val="20"/>
          <w:szCs w:val="20"/>
          <w:color w:val="auto"/>
        </w:rPr>
      </w:pPr>
      <w:r>
        <w:rPr>
          <w:rFonts w:ascii="Arial" w:cs="Arial" w:eastAsia="Arial" w:hAnsi="Arial"/>
          <w:sz w:val="16"/>
          <w:szCs w:val="16"/>
          <w:b w:val="1"/>
          <w:bCs w:val="1"/>
          <w:color w:val="auto"/>
        </w:rPr>
        <w:t>REPORT OF INDEPENDENT PUBLIC ACCOUNTANTS</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the Stockholders and Board of Directors of</w:t>
      </w:r>
    </w:p>
    <w:p>
      <w:pPr>
        <w:spacing w:after="0" w:line="198" w:lineRule="exact"/>
        <w:rPr>
          <w:sz w:val="20"/>
          <w:szCs w:val="20"/>
          <w:color w:val="auto"/>
        </w:rPr>
      </w:pPr>
    </w:p>
    <w:p>
      <w:pPr>
        <w:ind w:left="185"/>
        <w:spacing w:after="0"/>
        <w:rPr>
          <w:sz w:val="20"/>
          <w:szCs w:val="20"/>
          <w:color w:val="auto"/>
        </w:rPr>
      </w:pPr>
      <w:r>
        <w:rPr>
          <w:rFonts w:ascii="Arial" w:cs="Arial" w:eastAsia="Arial" w:hAnsi="Arial"/>
          <w:sz w:val="16"/>
          <w:szCs w:val="16"/>
          <w:color w:val="auto"/>
        </w:rPr>
        <w:t>Lennox International Inc.:</w:t>
      </w:r>
    </w:p>
    <w:p>
      <w:pPr>
        <w:spacing w:after="0" w:line="222" w:lineRule="exact"/>
        <w:rPr>
          <w:sz w:val="20"/>
          <w:szCs w:val="20"/>
          <w:color w:val="auto"/>
        </w:rPr>
      </w:pPr>
    </w:p>
    <w:p>
      <w:pPr>
        <w:jc w:val="both"/>
        <w:ind w:left="5" w:right="140" w:firstLine="286"/>
        <w:spacing w:after="0" w:line="310" w:lineRule="auto"/>
        <w:rPr>
          <w:sz w:val="20"/>
          <w:szCs w:val="20"/>
          <w:color w:val="auto"/>
        </w:rPr>
      </w:pPr>
      <w:r>
        <w:rPr>
          <w:rFonts w:ascii="Arial" w:cs="Arial" w:eastAsia="Arial" w:hAnsi="Arial"/>
          <w:sz w:val="14"/>
          <w:szCs w:val="14"/>
          <w:color w:val="auto"/>
        </w:rPr>
        <w:t>We have audited the accompanying Consolidated Balance Sheets of Lennox International Inc. (a Delaware corporation) and Subsidiaries as of December 31, 2001 and 2000 and the related consolidated statements of income,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63" w:lineRule="exact"/>
        <w:rPr>
          <w:sz w:val="20"/>
          <w:szCs w:val="20"/>
          <w:color w:val="auto"/>
        </w:rPr>
      </w:pPr>
    </w:p>
    <w:p>
      <w:pPr>
        <w:ind w:left="5" w:firstLine="286"/>
        <w:spacing w:after="0" w:line="301" w:lineRule="auto"/>
        <w:rPr>
          <w:sz w:val="20"/>
          <w:szCs w:val="20"/>
          <w:color w:val="auto"/>
        </w:rPr>
      </w:pPr>
      <w:r>
        <w:rPr>
          <w:rFonts w:ascii="Arial" w:cs="Arial" w:eastAsia="Arial" w:hAnsi="Arial"/>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ind w:left="5" w:right="60" w:firstLine="286"/>
        <w:spacing w:after="0" w:line="25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Lennox International Inc.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176" w:lineRule="exact"/>
        <w:rPr>
          <w:sz w:val="20"/>
          <w:szCs w:val="20"/>
          <w:color w:val="auto"/>
        </w:rPr>
      </w:pPr>
    </w:p>
    <w:p>
      <w:pPr>
        <w:jc w:val="center"/>
        <w:ind w:right="255"/>
        <w:spacing w:after="0"/>
        <w:rPr>
          <w:sz w:val="20"/>
          <w:szCs w:val="20"/>
          <w:color w:val="auto"/>
        </w:rPr>
      </w:pPr>
      <w:r>
        <w:rPr>
          <w:rFonts w:ascii="Arial" w:cs="Arial" w:eastAsia="Arial" w:hAnsi="Arial"/>
          <w:sz w:val="16"/>
          <w:szCs w:val="16"/>
          <w:color w:val="auto"/>
        </w:rPr>
        <w:t>ARTHUR ANDERSEN LLP</w:t>
      </w:r>
      <w:r>
        <w:rPr>
          <w:rFonts w:ascii="Arial" w:cs="Arial" w:eastAsia="Arial" w:hAnsi="Arial"/>
          <w:sz w:val="25"/>
          <w:szCs w:val="25"/>
          <w:color w:val="auto"/>
          <w:vertAlign w:val="superscript"/>
        </w:rPr>
        <w:t>(1)</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Dallas, Texas,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February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8326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285" w:lineRule="exact"/>
        <w:rPr>
          <w:sz w:val="20"/>
          <w:szCs w:val="20"/>
          <w:color w:val="auto"/>
        </w:rPr>
      </w:pPr>
    </w:p>
    <w:p>
      <w:pPr>
        <w:ind w:left="345" w:right="20" w:hanging="345"/>
        <w:spacing w:after="0" w:line="254"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report is a copy of the previously issued report covering fiscal years 2001 and 2000. The predecessor auditors have not reissued their report. The consolidated financial statements as of December 31, 2001 and for each of the years in the two-year period then ended have been revised to include the transitional disclosures required by Statement of Financial Accounting Standard No. 142, Goodwill and Other Intangible Assets (see Note 2 under the heading “Goodwill and Other Intangible Assets”). The report of Arthur Andersen LLP presented above does not extend to these</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6"/>
          <w:szCs w:val="16"/>
          <w:color w:val="auto"/>
        </w:rPr>
        <w:t>changes.</w:t>
      </w:r>
    </w:p>
    <w:p>
      <w:pPr>
        <w:spacing w:after="0" w:line="198"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5"/>
          </w:cols>
          <w:pgMar w:left="235" w:top="386" w:right="2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CONSOLIDATED BALANCE SHEETS</w:t>
      </w:r>
    </w:p>
    <w:p>
      <w:pPr>
        <w:spacing w:after="0" w:line="198"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As of December 31, 2003 and 2002</w:t>
      </w:r>
    </w:p>
    <w:p>
      <w:pPr>
        <w:spacing w:after="0" w:line="18"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(In millions, except share data)</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6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4"/>
          </w:tcPr>
          <w:p>
            <w:pPr>
              <w:jc w:val="right"/>
              <w:spacing w:after="0"/>
              <w:rPr>
                <w:sz w:val="20"/>
                <w:szCs w:val="20"/>
                <w:color w:val="auto"/>
              </w:rPr>
            </w:pPr>
            <w:r>
              <w:rPr>
                <w:rFonts w:ascii="Arial" w:cs="Arial" w:eastAsia="Arial" w:hAnsi="Arial"/>
                <w:sz w:val="12"/>
                <w:szCs w:val="12"/>
                <w:b w:val="1"/>
                <w:bCs w:val="1"/>
                <w:color w:val="auto"/>
              </w:rPr>
              <w:t>As of December 31,</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4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154"/>
        </w:trPr>
        <w:tc>
          <w:tcPr>
            <w:tcW w:w="6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ind w:right="84"/>
              <w:spacing w:after="0"/>
              <w:rPr>
                <w:sz w:val="20"/>
                <w:szCs w:val="20"/>
                <w:color w:val="auto"/>
              </w:rPr>
            </w:pPr>
            <w:r>
              <w:rPr>
                <w:rFonts w:ascii="Arial" w:cs="Arial" w:eastAsia="Arial" w:hAnsi="Arial"/>
                <w:sz w:val="12"/>
                <w:szCs w:val="12"/>
                <w:b w:val="1"/>
                <w:bCs w:val="1"/>
                <w:color w:val="auto"/>
              </w:rPr>
              <w:t>2003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ind w:right="83"/>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460" w:type="dxa"/>
            <w:vAlign w:val="bottom"/>
            <w:vMerge w:val="restart"/>
          </w:tcPr>
          <w:p>
            <w:pPr>
              <w:ind w:left="428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6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CURRENT ASSETS: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76.1</w:t>
            </w:r>
          </w:p>
        </w:tc>
        <w:tc>
          <w:tcPr>
            <w:tcW w:w="3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Accounts and notes receivable, net</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463.4</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304.6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226.6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214.6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33.4</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34.0</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48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845.5</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665.1</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234.6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231.4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GOODWILL, net</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447.3</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420.7</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OTHER ASSETS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139.4</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115.9</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46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1,726.6</w:t>
            </w:r>
          </w:p>
        </w:tc>
        <w:tc>
          <w:tcPr>
            <w:tcW w:w="3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1,507.6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460" w:type="dxa"/>
            <w:vAlign w:val="bottom"/>
            <w:vMerge w:val="restart"/>
          </w:tcPr>
          <w:p>
            <w:pPr>
              <w:ind w:left="290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6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Current maturities of long-term debt</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21.4</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13.9</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262.9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250.7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Accrued expenses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292.1</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257.1</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6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480"/>
              <w:spacing w:after="0"/>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615.3</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543.6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337.3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356.7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POSTRETIREMENT BENEFITS, OTHER THAN PENSIONS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13.8</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PENSIONS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OTHER LIABILITIES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81.9</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78.1</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46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1,142.4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1,077.3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spacing w:after="0"/>
              <w:rPr>
                <w:sz w:val="20"/>
                <w:szCs w:val="20"/>
                <w:color w:val="auto"/>
              </w:rPr>
            </w:pPr>
            <w:r>
              <w:rPr>
                <w:rFonts w:ascii="Arial" w:cs="Arial" w:eastAsia="Arial" w:hAnsi="Arial"/>
                <w:sz w:val="16"/>
                <w:szCs w:val="16"/>
                <w:color w:val="auto"/>
              </w:rPr>
              <w:t>COMMITMENTS AND CONTINGENCIES</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Preferred stock, $.01 par value, 25,000,000 shares authorized, no shares</w:t>
            </w:r>
          </w:p>
        </w:tc>
        <w:tc>
          <w:tcPr>
            <w:tcW w:w="4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EEEEEE"/>
          </w:tcPr>
          <w:p>
            <w:pPr>
              <w:ind w:left="360"/>
              <w:spacing w:after="0"/>
              <w:rPr>
                <w:sz w:val="20"/>
                <w:szCs w:val="20"/>
                <w:color w:val="auto"/>
              </w:rPr>
            </w:pPr>
            <w:r>
              <w:rPr>
                <w:rFonts w:ascii="Arial" w:cs="Arial" w:eastAsia="Arial" w:hAnsi="Arial"/>
                <w:sz w:val="16"/>
                <w:szCs w:val="16"/>
                <w:color w:val="auto"/>
              </w:rPr>
              <w:t>issued or outstanding</w:t>
            </w:r>
          </w:p>
        </w:tc>
        <w:tc>
          <w:tcPr>
            <w:tcW w:w="4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6460" w:type="dxa"/>
            <w:vAlign w:val="bottom"/>
          </w:tcPr>
          <w:p>
            <w:pPr>
              <w:ind w:left="240"/>
              <w:spacing w:after="0"/>
              <w:rPr>
                <w:sz w:val="20"/>
                <w:szCs w:val="20"/>
                <w:color w:val="auto"/>
              </w:rPr>
            </w:pPr>
            <w:r>
              <w:rPr>
                <w:rFonts w:ascii="Arial" w:cs="Arial" w:eastAsia="Arial" w:hAnsi="Arial"/>
                <w:sz w:val="16"/>
                <w:szCs w:val="16"/>
                <w:color w:val="auto"/>
              </w:rPr>
              <w:t>Common stock, $.01 par value, 200,000,000 shares authorized,</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360"/>
              <w:spacing w:after="0"/>
              <w:rPr>
                <w:sz w:val="20"/>
                <w:szCs w:val="20"/>
                <w:color w:val="auto"/>
              </w:rPr>
            </w:pPr>
            <w:r>
              <w:rPr>
                <w:rFonts w:ascii="Arial" w:cs="Arial" w:eastAsia="Arial" w:hAnsi="Arial"/>
                <w:sz w:val="16"/>
                <w:szCs w:val="16"/>
                <w:color w:val="auto"/>
                <w:w w:val="93"/>
              </w:rPr>
              <w:t>64,247,203 shares and 62,922,308 (restated) shares issued for 2003 and 2002, respectively</w:t>
            </w: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Additional paid-in capital</w:t>
            </w: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420.4</w:t>
            </w: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403.4</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218.9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156.7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EEEEEE"/>
          </w:tcPr>
          <w:p>
            <w:pPr>
              <w:spacing w:after="0"/>
              <w:rPr>
                <w:sz w:val="16"/>
                <w:szCs w:val="16"/>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(6.4)</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191"/>
        </w:trPr>
        <w:tc>
          <w:tcPr>
            <w:tcW w:w="6460" w:type="dxa"/>
            <w:vAlign w:val="bottom"/>
          </w:tcPr>
          <w:p>
            <w:pPr>
              <w:ind w:left="240"/>
              <w:spacing w:after="0"/>
              <w:rPr>
                <w:sz w:val="20"/>
                <w:szCs w:val="20"/>
                <w:color w:val="auto"/>
              </w:rPr>
            </w:pPr>
            <w:r>
              <w:rPr>
                <w:rFonts w:ascii="Arial" w:cs="Arial" w:eastAsia="Arial" w:hAnsi="Arial"/>
                <w:sz w:val="16"/>
                <w:szCs w:val="16"/>
                <w:color w:val="auto"/>
              </w:rPr>
              <w:t>Deferred compensation</w:t>
            </w:r>
          </w:p>
        </w:tc>
        <w:tc>
          <w:tcPr>
            <w:tcW w:w="40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(18.2)</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240"/>
              <w:spacing w:after="0"/>
              <w:rPr>
                <w:sz w:val="20"/>
                <w:szCs w:val="20"/>
                <w:color w:val="auto"/>
              </w:rPr>
            </w:pPr>
            <w:r>
              <w:rPr>
                <w:rFonts w:ascii="Arial" w:cs="Arial" w:eastAsia="Arial" w:hAnsi="Arial"/>
                <w:sz w:val="16"/>
                <w:szCs w:val="16"/>
                <w:color w:val="auto"/>
                <w:w w:val="91"/>
              </w:rPr>
              <w:t>Treasury stock, at cost, 3,043,916 shares and 3,009,656 shares for 2003 and 2002 respectively</w:t>
            </w:r>
          </w:p>
        </w:tc>
        <w:tc>
          <w:tcPr>
            <w:tcW w:w="400" w:type="dxa"/>
            <w:vAlign w:val="bottom"/>
            <w:shd w:val="clear" w:color="auto" w:fill="EEEEEE"/>
          </w:tcPr>
          <w:p>
            <w:pPr>
              <w:spacing w:after="0"/>
              <w:rPr>
                <w:sz w:val="16"/>
                <w:szCs w:val="16"/>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(31.1)</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460" w:type="dxa"/>
            <w:vAlign w:val="bottom"/>
          </w:tcPr>
          <w:p>
            <w:pPr>
              <w:ind w:left="480"/>
              <w:spacing w:after="0"/>
              <w:rPr>
                <w:sz w:val="20"/>
                <w:szCs w:val="20"/>
                <w:color w:val="auto"/>
              </w:rPr>
            </w:pPr>
            <w:r>
              <w:rPr>
                <w:rFonts w:ascii="Arial" w:cs="Arial" w:eastAsia="Arial" w:hAnsi="Arial"/>
                <w:sz w:val="16"/>
                <w:szCs w:val="16"/>
                <w:color w:val="auto"/>
              </w:rPr>
              <w:t>Total stockholders’ equity</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584.2</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430.3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6460" w:type="dxa"/>
            <w:vAlign w:val="bottom"/>
            <w:shd w:val="clear" w:color="auto" w:fill="EEEEEE"/>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1,726.6</w:t>
            </w:r>
          </w:p>
        </w:tc>
        <w:tc>
          <w:tcPr>
            <w:tcW w:w="32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1,507.6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-3980180</wp:posOffset>
            </wp:positionV>
            <wp:extent cx="1270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-3980180</wp:posOffset>
            </wp:positionV>
            <wp:extent cx="1270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-3980180</wp:posOffset>
            </wp:positionV>
            <wp:extent cx="12700"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-3980180</wp:posOffset>
            </wp:positionV>
            <wp:extent cx="12700"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-34925</wp:posOffset>
            </wp:positionV>
            <wp:extent cx="12700"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-34925</wp:posOffset>
            </wp:positionV>
            <wp:extent cx="12700"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-34925</wp:posOffset>
            </wp:positionV>
            <wp:extent cx="1270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-34925</wp:posOffset>
            </wp:positionV>
            <wp:extent cx="1270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5"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80"/>
          </w:cols>
          <w:pgMar w:left="240" w:top="386" w:right="137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8"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18"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(In millions, except per share data)</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8"/>
          </w:tcPr>
          <w:p>
            <w:pPr>
              <w:jc w:val="center"/>
              <w:spacing w:after="0"/>
              <w:rPr>
                <w:sz w:val="20"/>
                <w:szCs w:val="20"/>
                <w:color w:val="auto"/>
              </w:rPr>
            </w:pPr>
            <w:r>
              <w:rPr>
                <w:rFonts w:ascii="Arial" w:cs="Arial" w:eastAsia="Arial" w:hAnsi="Arial"/>
                <w:sz w:val="12"/>
                <w:szCs w:val="12"/>
                <w:b w:val="1"/>
                <w:bCs w:val="1"/>
                <w:color w:val="auto"/>
                <w:w w:val="89"/>
              </w:rPr>
              <w:t>For the Years Ended December 31,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5"/>
          </w:tcPr>
          <w:p>
            <w:pPr>
              <w:jc w:val="center"/>
              <w:ind w:right="720"/>
              <w:spacing w:after="0"/>
              <w:rPr>
                <w:sz w:val="20"/>
                <w:szCs w:val="20"/>
                <w:color w:val="auto"/>
              </w:rPr>
            </w:pPr>
            <w:r>
              <w:rPr>
                <w:rFonts w:ascii="Arial" w:cs="Arial" w:eastAsia="Arial" w:hAnsi="Arial"/>
                <w:sz w:val="12"/>
                <w:szCs w:val="12"/>
                <w:b w:val="1"/>
                <w:bCs w:val="1"/>
                <w:color w:val="auto"/>
                <w:w w:val="86"/>
              </w:rPr>
              <w:t>Restated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23"/>
              <w:spacing w:after="0"/>
              <w:rPr>
                <w:sz w:val="20"/>
                <w:szCs w:val="20"/>
                <w:color w:val="auto"/>
              </w:rPr>
            </w:pPr>
            <w:r>
              <w:rPr>
                <w:rFonts w:ascii="Arial" w:cs="Arial" w:eastAsia="Arial" w:hAnsi="Arial"/>
                <w:sz w:val="12"/>
                <w:szCs w:val="12"/>
                <w:b w:val="1"/>
                <w:bCs w:val="1"/>
                <w:color w:val="auto"/>
              </w:rPr>
              <w:t>2001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2"/>
              </w:rPr>
              <w:t>3,085.1</w:t>
            </w:r>
          </w:p>
        </w:tc>
        <w:tc>
          <w:tcPr>
            <w:tcW w:w="140" w:type="dxa"/>
            <w:vAlign w:val="bottom"/>
            <w:shd w:val="clear" w:color="auto" w:fill="EEEEEE"/>
          </w:tcPr>
          <w:p>
            <w:pPr>
              <w:spacing w:after="0"/>
              <w:rPr>
                <w:sz w:val="16"/>
                <w:szCs w:val="16"/>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3,024.6</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3,113.6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w w:val="82"/>
              </w:rPr>
              <w:t>2,067.9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2,077.6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2,199.2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2"/>
              </w:rPr>
              <w:t>1,017.2</w:t>
            </w: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947.0</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914.4</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3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859.6</w:t>
            </w: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839.0</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849.7</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tcPr>
          <w:p>
            <w:pPr>
              <w:ind w:left="220"/>
              <w:spacing w:after="0"/>
              <w:rPr>
                <w:sz w:val="20"/>
                <w:szCs w:val="20"/>
                <w:color w:val="auto"/>
              </w:rPr>
            </w:pPr>
            <w:r>
              <w:rPr>
                <w:rFonts w:ascii="Arial" w:cs="Arial" w:eastAsia="Arial" w:hAnsi="Arial"/>
                <w:sz w:val="16"/>
                <w:szCs w:val="16"/>
                <w:color w:val="auto"/>
              </w:rPr>
              <w:t>Restructurings</w:t>
            </w:r>
          </w:p>
        </w:tc>
        <w:tc>
          <w:tcPr>
            <w:tcW w:w="32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(Gains) Losses and other expenses</w:t>
            </w:r>
          </w:p>
        </w:tc>
        <w:tc>
          <w:tcPr>
            <w:tcW w:w="3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6"/>
                <w:szCs w:val="16"/>
                <w:color w:val="auto"/>
              </w:rPr>
              <w:t>(7.9)</w:t>
            </w: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320" w:type="dxa"/>
            <w:vAlign w:val="bottom"/>
          </w:tcPr>
          <w:p>
            <w:pPr>
              <w:ind w:left="460"/>
              <w:spacing w:after="0"/>
              <w:rPr>
                <w:sz w:val="20"/>
                <w:szCs w:val="20"/>
                <w:color w:val="auto"/>
              </w:rPr>
            </w:pPr>
            <w:r>
              <w:rPr>
                <w:rFonts w:ascii="Arial" w:cs="Arial" w:eastAsia="Arial" w:hAnsi="Arial"/>
                <w:sz w:val="16"/>
                <w:szCs w:val="16"/>
                <w:color w:val="auto"/>
              </w:rPr>
              <w:t>Income (loss) from operations</w:t>
            </w:r>
          </w:p>
        </w:tc>
        <w:tc>
          <w:tcPr>
            <w:tcW w:w="3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155.7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2"/>
        </w:trPr>
        <w:tc>
          <w:tcPr>
            <w:tcW w:w="5320" w:type="dxa"/>
            <w:vAlign w:val="bottom"/>
            <w:shd w:val="clear" w:color="auto" w:fill="EEEEEE"/>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43.1</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17"/>
                <w:szCs w:val="17"/>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(0.8)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Income (loss) before income taxes and cumulative effect of accounting</w:t>
            </w:r>
          </w:p>
        </w:tc>
        <w:tc>
          <w:tcPr>
            <w:tcW w:w="3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EEEEEE"/>
          </w:tcPr>
          <w:p>
            <w:pPr>
              <w:ind w:left="340"/>
              <w:spacing w:after="0"/>
              <w:rPr>
                <w:sz w:val="20"/>
                <w:szCs w:val="20"/>
                <w:color w:val="auto"/>
              </w:rPr>
            </w:pPr>
            <w:r>
              <w:rPr>
                <w:rFonts w:ascii="Arial" w:cs="Arial" w:eastAsia="Arial" w:hAnsi="Arial"/>
                <w:sz w:val="16"/>
                <w:szCs w:val="16"/>
                <w:color w:val="auto"/>
              </w:rPr>
              <w:t>change</w:t>
            </w:r>
          </w:p>
        </w:tc>
        <w:tc>
          <w:tcPr>
            <w:tcW w:w="32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129.7</w:t>
            </w: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77.1</w:t>
            </w: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45.3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Income (loss) before cumulative effect of accounting change</w:t>
            </w:r>
          </w:p>
        </w:tc>
        <w:tc>
          <w:tcPr>
            <w:tcW w:w="3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42.9</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320" w:type="dxa"/>
            <w:vAlign w:val="bottom"/>
          </w:tcPr>
          <w:p>
            <w:pPr>
              <w:spacing w:after="0"/>
              <w:rPr>
                <w:sz w:val="20"/>
                <w:szCs w:val="20"/>
                <w:color w:val="auto"/>
              </w:rPr>
            </w:pPr>
            <w:r>
              <w:rPr>
                <w:rFonts w:ascii="Arial" w:cs="Arial" w:eastAsia="Arial" w:hAnsi="Arial"/>
                <w:sz w:val="16"/>
                <w:szCs w:val="16"/>
                <w:color w:val="auto"/>
              </w:rPr>
              <w:t>CUMULATIVE EFFECT OF ACCOUNTING CHANGE</w:t>
            </w:r>
          </w:p>
        </w:tc>
        <w:tc>
          <w:tcPr>
            <w:tcW w:w="32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247.9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5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EEEEEE"/>
          </w:tcPr>
          <w:p>
            <w:pPr>
              <w:spacing w:after="0"/>
              <w:rPr>
                <w:sz w:val="16"/>
                <w:szCs w:val="16"/>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6"/>
                <w:szCs w:val="16"/>
                <w:color w:val="auto"/>
                <w:w w:val="98"/>
              </w:rPr>
              <w:t>(205.0)</w:t>
            </w: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27"/>
        </w:trPr>
        <w:tc>
          <w:tcPr>
            <w:tcW w:w="5320" w:type="dxa"/>
            <w:vAlign w:val="bottom"/>
            <w:vMerge w:val="restart"/>
          </w:tcPr>
          <w:p>
            <w:pPr>
              <w:spacing w:after="0"/>
              <w:rPr>
                <w:sz w:val="20"/>
                <w:szCs w:val="20"/>
                <w:color w:val="auto"/>
              </w:rPr>
            </w:pPr>
            <w:r>
              <w:rPr>
                <w:rFonts w:ascii="Arial" w:cs="Arial" w:eastAsia="Arial" w:hAnsi="Arial"/>
                <w:sz w:val="16"/>
                <w:szCs w:val="16"/>
                <w:color w:val="auto"/>
              </w:rPr>
              <w:t>INCOME (LOSS) PER SHARE BEFORE CUMULATIVE EFFECT OF</w:t>
            </w:r>
          </w:p>
        </w:tc>
        <w:tc>
          <w:tcPr>
            <w:tcW w:w="3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53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320" w:type="dxa"/>
            <w:vAlign w:val="bottom"/>
          </w:tcPr>
          <w:p>
            <w:pPr>
              <w:ind w:left="120"/>
              <w:spacing w:after="0"/>
              <w:rPr>
                <w:sz w:val="20"/>
                <w:szCs w:val="20"/>
                <w:color w:val="auto"/>
              </w:rPr>
            </w:pPr>
            <w:r>
              <w:rPr>
                <w:rFonts w:ascii="Arial" w:cs="Arial" w:eastAsia="Arial" w:hAnsi="Arial"/>
                <w:sz w:val="16"/>
                <w:szCs w:val="16"/>
                <w:color w:val="auto"/>
              </w:rPr>
              <w:t>ACCOUNTING CHANGE:</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EEEEEE"/>
          </w:tcPr>
          <w:p>
            <w:pPr>
              <w:spacing w:after="0"/>
              <w:rPr>
                <w:sz w:val="16"/>
                <w:szCs w:val="16"/>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0.75</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1"/>
        </w:trPr>
        <w:tc>
          <w:tcPr>
            <w:tcW w:w="532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0.73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spacing w:after="0"/>
              <w:rPr>
                <w:sz w:val="20"/>
                <w:szCs w:val="20"/>
                <w:color w:val="auto"/>
              </w:rPr>
            </w:pPr>
            <w:r>
              <w:rPr>
                <w:rFonts w:ascii="Arial" w:cs="Arial" w:eastAsia="Arial" w:hAnsi="Arial"/>
                <w:sz w:val="16"/>
                <w:szCs w:val="16"/>
                <w:color w:val="auto"/>
              </w:rPr>
              <w:t>CUMULATIVE EFFECT OF ACCOUNTING CHANGE PER SHARE:</w:t>
            </w: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(4.33)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6"/>
                <w:szCs w:val="16"/>
                <w:color w:val="auto"/>
              </w:rPr>
              <w:t>(4.21)</w:t>
            </w: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EEEEEE"/>
          </w:tcPr>
          <w:p>
            <w:pPr>
              <w:spacing w:after="0"/>
              <w:rPr>
                <w:sz w:val="16"/>
                <w:szCs w:val="16"/>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EEEEEE"/>
          </w:tcPr>
          <w:p>
            <w:pPr>
              <w:jc w:val="right"/>
              <w:ind w:right="260"/>
              <w:spacing w:after="0"/>
              <w:rPr>
                <w:sz w:val="20"/>
                <w:szCs w:val="20"/>
                <w:color w:val="auto"/>
              </w:rPr>
            </w:pPr>
            <w:r>
              <w:rPr>
                <w:rFonts w:ascii="Arial" w:cs="Arial" w:eastAsia="Arial" w:hAnsi="Arial"/>
                <w:sz w:val="16"/>
                <w:szCs w:val="16"/>
                <w:color w:val="auto"/>
              </w:rPr>
              <w:t>(3.58)</w:t>
            </w: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6"/>
        </w:trPr>
        <w:tc>
          <w:tcPr>
            <w:tcW w:w="532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60"/>
              <w:spacing w:after="0"/>
              <w:rPr>
                <w:sz w:val="20"/>
                <w:szCs w:val="20"/>
                <w:color w:val="auto"/>
              </w:rPr>
            </w:pPr>
            <w:r>
              <w:rPr>
                <w:rFonts w:ascii="Arial" w:cs="Arial" w:eastAsia="Arial" w:hAnsi="Arial"/>
                <w:sz w:val="16"/>
                <w:szCs w:val="16"/>
                <w:color w:val="auto"/>
              </w:rPr>
              <w:t>(3.48)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-1308100</wp:posOffset>
            </wp:positionV>
            <wp:extent cx="1270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-1308100</wp:posOffset>
            </wp:positionV>
            <wp:extent cx="1270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-1308100</wp:posOffset>
            </wp:positionV>
            <wp:extent cx="1270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-1308100</wp:posOffset>
            </wp:positionV>
            <wp:extent cx="1270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-1308100</wp:posOffset>
            </wp:positionV>
            <wp:extent cx="1270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-1308100</wp:posOffset>
            </wp:positionV>
            <wp:extent cx="1270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58"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280"/>
          </w:cols>
          <w:pgMar w:left="240" w:top="386" w:right="13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6"/>
          </w:tcPr>
          <w:p>
            <w:pPr>
              <w:jc w:val="right"/>
              <w:ind w:right="160"/>
              <w:spacing w:after="0"/>
              <w:rPr>
                <w:sz w:val="20"/>
                <w:szCs w:val="20"/>
                <w:color w:val="auto"/>
              </w:rPr>
            </w:pPr>
            <w:r>
              <w:rPr>
                <w:rFonts w:ascii="Arial" w:cs="Arial" w:eastAsia="Arial" w:hAnsi="Arial"/>
                <w:sz w:val="12"/>
                <w:szCs w:val="12"/>
                <w:b w:val="1"/>
                <w:bCs w:val="1"/>
                <w:color w:val="auto"/>
                <w:w w:val="93"/>
              </w:rPr>
              <w:t>Common Stock</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gridSpan w:val="5"/>
            <w:vMerge w:val="restart"/>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6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0"/>
              </w:rPr>
              <w:t>Treasury</w:t>
            </w:r>
          </w:p>
        </w:tc>
        <w:tc>
          <w:tcPr>
            <w:tcW w:w="260" w:type="dxa"/>
            <w:vAlign w:val="bottom"/>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640" w:type="dxa"/>
            <w:vAlign w:val="bottom"/>
            <w:gridSpan w:val="3"/>
            <w:vMerge w:val="restart"/>
          </w:tcPr>
          <w:p>
            <w:pPr>
              <w:jc w:val="center"/>
              <w:ind w:right="340"/>
              <w:spacing w:after="0"/>
              <w:rPr>
                <w:sz w:val="20"/>
                <w:szCs w:val="20"/>
                <w:color w:val="auto"/>
              </w:rPr>
            </w:pPr>
            <w:r>
              <w:rPr>
                <w:rFonts w:ascii="Arial" w:cs="Arial" w:eastAsia="Arial" w:hAnsi="Arial"/>
                <w:sz w:val="12"/>
                <w:szCs w:val="12"/>
                <w:b w:val="1"/>
                <w:bCs w:val="1"/>
                <w:color w:val="auto"/>
                <w:w w:val="90"/>
              </w:rPr>
              <w:t>Total</w:t>
            </w: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78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680" w:type="dxa"/>
            <w:vAlign w:val="bottom"/>
            <w:gridSpan w:val="4"/>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4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89"/>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Paid-In</w:t>
            </w:r>
          </w:p>
        </w:tc>
        <w:tc>
          <w:tcPr>
            <w:tcW w:w="24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Retained</w:t>
            </w:r>
          </w:p>
        </w:tc>
        <w:tc>
          <w:tcPr>
            <w:tcW w:w="260" w:type="dxa"/>
            <w:vAlign w:val="bottom"/>
          </w:tcPr>
          <w:p>
            <w:pPr>
              <w:spacing w:after="0"/>
              <w:rPr>
                <w:sz w:val="12"/>
                <w:szCs w:val="12"/>
                <w:color w:val="auto"/>
              </w:rPr>
            </w:pPr>
          </w:p>
        </w:tc>
        <w:tc>
          <w:tcPr>
            <w:tcW w:w="134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Accumulated Other</w:t>
            </w:r>
          </w:p>
        </w:tc>
        <w:tc>
          <w:tcPr>
            <w:tcW w:w="26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Deferred</w:t>
            </w:r>
          </w:p>
        </w:tc>
        <w:tc>
          <w:tcPr>
            <w:tcW w:w="260" w:type="dxa"/>
            <w:vAlign w:val="bottom"/>
          </w:tcPr>
          <w:p>
            <w:pPr>
              <w:spacing w:after="0"/>
              <w:rPr>
                <w:sz w:val="12"/>
                <w:szCs w:val="12"/>
                <w:color w:val="auto"/>
              </w:rPr>
            </w:pPr>
          </w:p>
        </w:tc>
        <w:tc>
          <w:tcPr>
            <w:tcW w:w="6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5"/>
              </w:rPr>
              <w:t>Stock at</w:t>
            </w:r>
          </w:p>
        </w:tc>
        <w:tc>
          <w:tcPr>
            <w:tcW w:w="26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Stockholders’</w:t>
            </w:r>
          </w:p>
        </w:tc>
        <w:tc>
          <w:tcPr>
            <w:tcW w:w="260" w:type="dxa"/>
            <w:vAlign w:val="bottom"/>
          </w:tcPr>
          <w:p>
            <w:pPr>
              <w:spacing w:after="0"/>
              <w:rPr>
                <w:sz w:val="12"/>
                <w:szCs w:val="12"/>
                <w:color w:val="auto"/>
              </w:rPr>
            </w:pPr>
          </w:p>
        </w:tc>
        <w:tc>
          <w:tcPr>
            <w:tcW w:w="11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Comprehensive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4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94"/>
              </w:rPr>
              <w:t>Issued</w:t>
            </w:r>
          </w:p>
        </w:tc>
        <w:tc>
          <w:tcPr>
            <w:tcW w:w="24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b w:val="1"/>
                <w:bCs w:val="1"/>
                <w:color w:val="auto"/>
                <w:w w:val="92"/>
              </w:rPr>
              <w:t>Amount</w:t>
            </w:r>
          </w:p>
        </w:tc>
        <w:tc>
          <w:tcPr>
            <w:tcW w:w="260" w:type="dxa"/>
            <w:vAlign w:val="bottom"/>
          </w:tcPr>
          <w:p>
            <w:pPr>
              <w:spacing w:after="0"/>
              <w:rPr>
                <w:sz w:val="13"/>
                <w:szCs w:val="13"/>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Capital</w:t>
            </w:r>
          </w:p>
        </w:tc>
        <w:tc>
          <w:tcPr>
            <w:tcW w:w="24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Earnings</w:t>
            </w:r>
          </w:p>
        </w:tc>
        <w:tc>
          <w:tcPr>
            <w:tcW w:w="260" w:type="dxa"/>
            <w:vAlign w:val="bottom"/>
          </w:tcPr>
          <w:p>
            <w:pPr>
              <w:spacing w:after="0"/>
              <w:rPr>
                <w:sz w:val="13"/>
                <w:szCs w:val="13"/>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7"/>
              </w:rPr>
              <w:t>Comprehensive Loss</w:t>
            </w:r>
          </w:p>
        </w:tc>
        <w:tc>
          <w:tcPr>
            <w:tcW w:w="260" w:type="dxa"/>
            <w:vAlign w:val="bottom"/>
          </w:tcPr>
          <w:p>
            <w:pPr>
              <w:spacing w:after="0"/>
              <w:rPr>
                <w:sz w:val="13"/>
                <w:szCs w:val="13"/>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5"/>
              </w:rPr>
              <w:t>Compensation</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9"/>
              </w:rPr>
              <w:t>Cost</w:t>
            </w:r>
          </w:p>
        </w:tc>
        <w:tc>
          <w:tcPr>
            <w:tcW w:w="260" w:type="dxa"/>
            <w:vAlign w:val="bottom"/>
          </w:tcPr>
          <w:p>
            <w:pPr>
              <w:spacing w:after="0"/>
              <w:rPr>
                <w:sz w:val="13"/>
                <w:szCs w:val="13"/>
                <w:color w:val="auto"/>
              </w:rPr>
            </w:pPr>
          </w:p>
        </w:tc>
        <w:tc>
          <w:tcPr>
            <w:tcW w:w="9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Equity</w:t>
            </w:r>
          </w:p>
        </w:tc>
        <w:tc>
          <w:tcPr>
            <w:tcW w:w="260" w:type="dxa"/>
            <w:vAlign w:val="bottom"/>
          </w:tcPr>
          <w:p>
            <w:pPr>
              <w:spacing w:after="0"/>
              <w:rPr>
                <w:sz w:val="13"/>
                <w:szCs w:val="13"/>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Income (Loss)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shd w:val="clear" w:color="auto" w:fill="EEEEEE"/>
          </w:tcPr>
          <w:p>
            <w:pPr>
              <w:spacing w:after="0" w:line="122" w:lineRule="exact"/>
              <w:rPr>
                <w:sz w:val="20"/>
                <w:szCs w:val="20"/>
                <w:color w:val="auto"/>
              </w:rPr>
            </w:pPr>
            <w:r>
              <w:rPr>
                <w:rFonts w:ascii="Arial" w:cs="Arial" w:eastAsia="Arial" w:hAnsi="Arial"/>
                <w:sz w:val="12"/>
                <w:szCs w:val="12"/>
                <w:color w:val="auto"/>
              </w:rPr>
              <w:t>BALANCE AT DECEMBER 31,</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100"/>
              <w:spacing w:after="0"/>
              <w:rPr>
                <w:sz w:val="20"/>
                <w:szCs w:val="20"/>
                <w:color w:val="auto"/>
              </w:rPr>
            </w:pPr>
            <w:r>
              <w:rPr>
                <w:rFonts w:ascii="Arial" w:cs="Arial" w:eastAsia="Arial" w:hAnsi="Arial"/>
                <w:sz w:val="12"/>
                <w:szCs w:val="12"/>
                <w:color w:val="auto"/>
              </w:rPr>
              <w:t>2000</w:t>
            </w:r>
          </w:p>
        </w:tc>
        <w:tc>
          <w:tcPr>
            <w:tcW w:w="320" w:type="dxa"/>
            <w:vAlign w:val="bottom"/>
            <w:gridSpan w:val="3"/>
            <w:shd w:val="clear" w:color="auto" w:fill="EEEEEE"/>
          </w:tcPr>
          <w:p>
            <w:pPr>
              <w:jc w:val="right"/>
              <w:spacing w:after="0"/>
              <w:rPr>
                <w:sz w:val="20"/>
                <w:szCs w:val="20"/>
                <w:color w:val="auto"/>
              </w:rPr>
            </w:pPr>
            <w:r>
              <w:rPr>
                <w:rFonts w:ascii="Arial" w:cs="Arial" w:eastAsia="Arial" w:hAnsi="Arial"/>
                <w:sz w:val="12"/>
                <w:szCs w:val="12"/>
                <w:color w:val="auto"/>
              </w:rPr>
              <w:t>60.4</w:t>
            </w:r>
          </w:p>
        </w:tc>
        <w:tc>
          <w:tcPr>
            <w:tcW w:w="120" w:type="dxa"/>
            <w:vAlign w:val="bottom"/>
            <w:shd w:val="clear" w:color="auto" w:fill="EEEEEE"/>
          </w:tcPr>
          <w:p>
            <w:pPr>
              <w:spacing w:after="0"/>
              <w:rPr>
                <w:sz w:val="12"/>
                <w:szCs w:val="12"/>
                <w:color w:val="auto"/>
              </w:rPr>
            </w:pPr>
          </w:p>
        </w:tc>
        <w:tc>
          <w:tcPr>
            <w:tcW w:w="680" w:type="dxa"/>
            <w:vAlign w:val="bottom"/>
            <w:gridSpan w:val="4"/>
            <w:shd w:val="clear" w:color="auto" w:fill="EEEEEE"/>
          </w:tcPr>
          <w:p>
            <w:pPr>
              <w:jc w:val="right"/>
              <w:ind w:right="140"/>
              <w:spacing w:after="0"/>
              <w:rPr>
                <w:sz w:val="20"/>
                <w:szCs w:val="20"/>
                <w:color w:val="auto"/>
              </w:rPr>
            </w:pPr>
            <w:r>
              <w:rPr>
                <w:rFonts w:ascii="Arial" w:cs="Arial" w:eastAsia="Arial" w:hAnsi="Arial"/>
                <w:sz w:val="12"/>
                <w:szCs w:val="12"/>
                <w:color w:val="auto"/>
              </w:rPr>
              <w:t>$0.6</w:t>
            </w:r>
          </w:p>
        </w:tc>
        <w:tc>
          <w:tcPr>
            <w:tcW w:w="840" w:type="dxa"/>
            <w:vAlign w:val="bottom"/>
            <w:gridSpan w:val="5"/>
            <w:shd w:val="clear" w:color="auto" w:fill="EEEEEE"/>
          </w:tcPr>
          <w:p>
            <w:pPr>
              <w:jc w:val="right"/>
              <w:ind w:right="20"/>
              <w:spacing w:after="0"/>
              <w:rPr>
                <w:sz w:val="20"/>
                <w:szCs w:val="20"/>
                <w:color w:val="auto"/>
              </w:rPr>
            </w:pPr>
            <w:r>
              <w:rPr>
                <w:rFonts w:ascii="Arial" w:cs="Arial" w:eastAsia="Arial" w:hAnsi="Arial"/>
                <w:sz w:val="12"/>
                <w:szCs w:val="12"/>
                <w:color w:val="auto"/>
              </w:rPr>
              <w:t>$372.7</w:t>
            </w:r>
          </w:p>
        </w:tc>
        <w:tc>
          <w:tcPr>
            <w:tcW w:w="200" w:type="dxa"/>
            <w:vAlign w:val="bottom"/>
            <w:shd w:val="clear" w:color="auto" w:fill="EEEEEE"/>
          </w:tcPr>
          <w:p>
            <w:pPr>
              <w:spacing w:after="0"/>
              <w:rPr>
                <w:sz w:val="12"/>
                <w:szCs w:val="12"/>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2"/>
                <w:szCs w:val="12"/>
                <w:color w:val="auto"/>
              </w:rPr>
              <w:t>$ 447.4</w:t>
            </w:r>
          </w:p>
        </w:tc>
        <w:tc>
          <w:tcPr>
            <w:tcW w:w="22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EEEEEE"/>
          </w:tcPr>
          <w:p>
            <w:pPr>
              <w:jc w:val="right"/>
              <w:ind w:right="520"/>
              <w:spacing w:after="0"/>
              <w:rPr>
                <w:sz w:val="20"/>
                <w:szCs w:val="20"/>
                <w:color w:val="auto"/>
              </w:rPr>
            </w:pPr>
            <w:r>
              <w:rPr>
                <w:rFonts w:ascii="Arial" w:cs="Arial" w:eastAsia="Arial" w:hAnsi="Arial"/>
                <w:sz w:val="12"/>
                <w:szCs w:val="12"/>
                <w:color w:val="auto"/>
                <w:w w:val="82"/>
              </w:rPr>
              <w:t>(37.1)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EEEEEE"/>
          </w:tcPr>
          <w:p>
            <w:pPr>
              <w:jc w:val="right"/>
              <w:ind w:right="300"/>
              <w:spacing w:after="0"/>
              <w:rPr>
                <w:sz w:val="20"/>
                <w:szCs w:val="20"/>
                <w:color w:val="auto"/>
              </w:rPr>
            </w:pPr>
            <w:r>
              <w:rPr>
                <w:rFonts w:ascii="Arial" w:cs="Arial" w:eastAsia="Arial" w:hAnsi="Arial"/>
                <w:sz w:val="12"/>
                <w:szCs w:val="12"/>
                <w:color w:val="auto"/>
                <w:w w:val="82"/>
              </w:rPr>
              <w:t>(10.2)</w:t>
            </w:r>
          </w:p>
        </w:tc>
        <w:tc>
          <w:tcPr>
            <w:tcW w:w="940" w:type="dxa"/>
            <w:vAlign w:val="bottom"/>
            <w:gridSpan w:val="5"/>
            <w:shd w:val="clear" w:color="auto" w:fill="EEEEEE"/>
          </w:tcPr>
          <w:p>
            <w:pPr>
              <w:jc w:val="right"/>
              <w:ind w:right="180"/>
              <w:spacing w:after="0"/>
              <w:rPr>
                <w:sz w:val="20"/>
                <w:szCs w:val="20"/>
                <w:color w:val="auto"/>
              </w:rPr>
            </w:pPr>
            <w:r>
              <w:rPr>
                <w:rFonts w:ascii="Arial" w:cs="Arial" w:eastAsia="Arial" w:hAnsi="Arial"/>
                <w:sz w:val="12"/>
                <w:szCs w:val="12"/>
                <w:color w:val="auto"/>
              </w:rPr>
              <w:t>$(34.1)</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$ 739.3</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240"/>
              <w:spacing w:after="0" w:line="132" w:lineRule="exact"/>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80" w:type="dxa"/>
            <w:vAlign w:val="bottom"/>
            <w:gridSpan w:val="4"/>
          </w:tcPr>
          <w:p>
            <w:pPr>
              <w:jc w:val="right"/>
              <w:ind w:right="180"/>
              <w:spacing w:after="0" w:line="132" w:lineRule="exact"/>
              <w:rPr>
                <w:sz w:val="20"/>
                <w:szCs w:val="20"/>
                <w:color w:val="auto"/>
              </w:rPr>
            </w:pPr>
            <w:r>
              <w:rPr>
                <w:rFonts w:ascii="Arial" w:cs="Arial" w:eastAsia="Arial" w:hAnsi="Arial"/>
                <w:sz w:val="12"/>
                <w:szCs w:val="12"/>
                <w:color w:val="auto"/>
              </w:rPr>
              <w:t>(42.4)</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line="132" w:lineRule="exact"/>
              <w:rPr>
                <w:sz w:val="20"/>
                <w:szCs w:val="20"/>
                <w:color w:val="auto"/>
              </w:rPr>
            </w:pPr>
            <w:r>
              <w:rPr>
                <w:rFonts w:ascii="Arial" w:cs="Arial" w:eastAsia="Arial" w:hAnsi="Arial"/>
                <w:sz w:val="12"/>
                <w:szCs w:val="12"/>
                <w:color w:val="auto"/>
              </w:rPr>
              <w:t>(42.4)</w:t>
            </w:r>
          </w:p>
        </w:tc>
        <w:tc>
          <w:tcPr>
            <w:tcW w:w="70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0"/>
              <w:spacing w:after="0" w:line="132" w:lineRule="exact"/>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Dividends, $0.38 per share</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80" w:type="dxa"/>
            <w:vAlign w:val="bottom"/>
            <w:gridSpan w:val="4"/>
            <w:shd w:val="clear" w:color="auto" w:fill="EEEEEE"/>
          </w:tcPr>
          <w:p>
            <w:pPr>
              <w:jc w:val="right"/>
              <w:ind w:right="180"/>
              <w:spacing w:after="0" w:line="132" w:lineRule="exact"/>
              <w:rPr>
                <w:sz w:val="20"/>
                <w:szCs w:val="20"/>
                <w:color w:val="auto"/>
              </w:rPr>
            </w:pPr>
            <w:r>
              <w:rPr>
                <w:rFonts w:ascii="Arial" w:cs="Arial" w:eastAsia="Arial" w:hAnsi="Arial"/>
                <w:sz w:val="12"/>
                <w:szCs w:val="12"/>
                <w:color w:val="auto"/>
              </w:rPr>
              <w:t>(21.5)</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5"/>
            <w:shd w:val="clear" w:color="auto" w:fill="EEEEEE"/>
          </w:tcPr>
          <w:p>
            <w:pPr>
              <w:jc w:val="right"/>
              <w:ind w:right="300"/>
              <w:spacing w:after="0" w:line="132" w:lineRule="exact"/>
              <w:rPr>
                <w:sz w:val="20"/>
                <w:szCs w:val="20"/>
                <w:color w:val="auto"/>
              </w:rPr>
            </w:pPr>
            <w:r>
              <w:rPr>
                <w:rFonts w:ascii="Arial" w:cs="Arial" w:eastAsia="Arial" w:hAnsi="Arial"/>
                <w:sz w:val="12"/>
                <w:szCs w:val="12"/>
                <w:color w:val="auto"/>
              </w:rPr>
              <w:t>(21.5)</w:t>
            </w: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Foreign currency translation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adjustments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2"/>
                <w:szCs w:val="12"/>
                <w:color w:val="auto"/>
                <w:w w:val="82"/>
              </w:rPr>
              <w:t>(22.4)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rPr>
                <w:sz w:val="20"/>
                <w:szCs w:val="20"/>
                <w:color w:val="auto"/>
              </w:rPr>
            </w:pPr>
            <w:r>
              <w:rPr>
                <w:rFonts w:ascii="Arial" w:cs="Arial" w:eastAsia="Arial" w:hAnsi="Arial"/>
                <w:sz w:val="12"/>
                <w:szCs w:val="12"/>
                <w:color w:val="auto"/>
              </w:rPr>
              <w:t>(22.4)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Minimum pension liability</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360"/>
              <w:spacing w:after="0" w:line="132" w:lineRule="exact"/>
              <w:rPr>
                <w:sz w:val="20"/>
                <w:szCs w:val="20"/>
                <w:color w:val="auto"/>
              </w:rPr>
            </w:pPr>
            <w:r>
              <w:rPr>
                <w:rFonts w:ascii="Arial" w:cs="Arial" w:eastAsia="Arial" w:hAnsi="Arial"/>
                <w:sz w:val="12"/>
                <w:szCs w:val="12"/>
                <w:color w:val="auto"/>
              </w:rPr>
              <w:t>adjustments, net of tax</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provision of $3.6</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ind w:right="520"/>
              <w:spacing w:after="0"/>
              <w:rPr>
                <w:sz w:val="20"/>
                <w:szCs w:val="20"/>
                <w:color w:val="auto"/>
              </w:rPr>
            </w:pPr>
            <w:r>
              <w:rPr>
                <w:rFonts w:ascii="Arial" w:cs="Arial" w:eastAsia="Arial" w:hAnsi="Arial"/>
                <w:sz w:val="12"/>
                <w:szCs w:val="12"/>
                <w:color w:val="auto"/>
              </w:rPr>
              <w:t>(5.8)</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5"/>
            <w:shd w:val="clear" w:color="auto" w:fill="EEEEEE"/>
          </w:tcPr>
          <w:p>
            <w:pPr>
              <w:jc w:val="right"/>
              <w:ind w:right="300"/>
              <w:spacing w:after="0"/>
              <w:rPr>
                <w:sz w:val="20"/>
                <w:szCs w:val="20"/>
                <w:color w:val="auto"/>
              </w:rPr>
            </w:pPr>
            <w:r>
              <w:rPr>
                <w:rFonts w:ascii="Arial" w:cs="Arial" w:eastAsia="Arial" w:hAnsi="Arial"/>
                <w:sz w:val="12"/>
                <w:szCs w:val="12"/>
                <w:color w:val="auto"/>
              </w:rPr>
              <w:t>(5.8)</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4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240"/>
              <w:spacing w:after="0" w:line="132" w:lineRule="exact"/>
              <w:rPr>
                <w:sz w:val="20"/>
                <w:szCs w:val="20"/>
                <w:color w:val="auto"/>
              </w:rPr>
            </w:pPr>
            <w:r>
              <w:rPr>
                <w:rFonts w:ascii="Arial" w:cs="Arial" w:eastAsia="Arial" w:hAnsi="Arial"/>
                <w:sz w:val="12"/>
                <w:szCs w:val="12"/>
                <w:color w:val="auto"/>
              </w:rPr>
              <w:t>Deferred compensation</w:t>
            </w:r>
          </w:p>
        </w:tc>
        <w:tc>
          <w:tcPr>
            <w:tcW w:w="440" w:type="dxa"/>
            <w:vAlign w:val="bottom"/>
            <w:gridSpan w:val="4"/>
          </w:tcPr>
          <w:p>
            <w:pPr>
              <w:jc w:val="right"/>
              <w:ind w:right="80"/>
              <w:spacing w:after="0" w:line="132" w:lineRule="exact"/>
              <w:rPr>
                <w:sz w:val="20"/>
                <w:szCs w:val="20"/>
                <w:color w:val="auto"/>
              </w:rPr>
            </w:pPr>
            <w:r>
              <w:rPr>
                <w:rFonts w:ascii="Arial" w:cs="Arial" w:eastAsia="Arial" w:hAnsi="Arial"/>
                <w:sz w:val="12"/>
                <w:szCs w:val="12"/>
                <w:color w:val="auto"/>
              </w:rPr>
              <w:t>(0.4)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1040" w:type="dxa"/>
            <w:vAlign w:val="bottom"/>
            <w:gridSpan w:val="6"/>
          </w:tcPr>
          <w:p>
            <w:pPr>
              <w:jc w:val="right"/>
              <w:ind w:right="180"/>
              <w:spacing w:after="0" w:line="132" w:lineRule="exact"/>
              <w:rPr>
                <w:sz w:val="20"/>
                <w:szCs w:val="20"/>
                <w:color w:val="auto"/>
              </w:rPr>
            </w:pPr>
            <w:r>
              <w:rPr>
                <w:rFonts w:ascii="Arial" w:cs="Arial" w:eastAsia="Arial" w:hAnsi="Arial"/>
                <w:sz w:val="12"/>
                <w:szCs w:val="12"/>
                <w:color w:val="auto"/>
              </w:rPr>
              <w:t>(2.7)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Arial" w:cs="Arial" w:eastAsia="Arial" w:hAnsi="Arial"/>
                <w:sz w:val="12"/>
                <w:szCs w:val="12"/>
                <w:color w:val="auto"/>
              </w:rPr>
              <w:t>4.2</w:t>
            </w:r>
          </w:p>
        </w:tc>
        <w:tc>
          <w:tcPr>
            <w:tcW w:w="340" w:type="dxa"/>
            <w:vAlign w:val="bottom"/>
          </w:tcPr>
          <w:p>
            <w:pPr>
              <w:spacing w:after="0"/>
              <w:rPr>
                <w:sz w:val="11"/>
                <w:szCs w:val="11"/>
                <w:color w:val="auto"/>
              </w:rPr>
            </w:pPr>
          </w:p>
        </w:tc>
        <w:tc>
          <w:tcPr>
            <w:tcW w:w="940" w:type="dxa"/>
            <w:vAlign w:val="bottom"/>
            <w:gridSpan w:val="5"/>
          </w:tcPr>
          <w:p>
            <w:pPr>
              <w:jc w:val="right"/>
              <w:ind w:right="180"/>
              <w:spacing w:after="0" w:line="132" w:lineRule="exact"/>
              <w:rPr>
                <w:sz w:val="20"/>
                <w:szCs w:val="20"/>
                <w:color w:val="auto"/>
              </w:rPr>
            </w:pPr>
            <w:r>
              <w:rPr>
                <w:rFonts w:ascii="Arial" w:cs="Arial" w:eastAsia="Arial" w:hAnsi="Arial"/>
                <w:sz w:val="12"/>
                <w:szCs w:val="12"/>
                <w:color w:val="auto"/>
              </w:rPr>
              <w:t>(0.2)</w:t>
            </w:r>
          </w:p>
        </w:tc>
        <w:tc>
          <w:tcPr>
            <w:tcW w:w="920" w:type="dxa"/>
            <w:vAlign w:val="bottom"/>
            <w:gridSpan w:val="4"/>
          </w:tcPr>
          <w:p>
            <w:pPr>
              <w:jc w:val="right"/>
              <w:ind w:right="20"/>
              <w:spacing w:after="0" w:line="132" w:lineRule="exact"/>
              <w:rPr>
                <w:sz w:val="20"/>
                <w:szCs w:val="20"/>
                <w:color w:val="auto"/>
              </w:rPr>
            </w:pPr>
            <w:r>
              <w:rPr>
                <w:rFonts w:ascii="Arial" w:cs="Arial" w:eastAsia="Arial" w:hAnsi="Arial"/>
                <w:sz w:val="12"/>
                <w:szCs w:val="12"/>
                <w:color w:val="auto"/>
              </w:rPr>
              <w:t>1.3</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Derivatives, net of tax</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provision of $1.9</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ind w:right="520"/>
              <w:spacing w:after="0"/>
              <w:rPr>
                <w:sz w:val="20"/>
                <w:szCs w:val="20"/>
                <w:color w:val="auto"/>
              </w:rPr>
            </w:pPr>
            <w:r>
              <w:rPr>
                <w:rFonts w:ascii="Arial" w:cs="Arial" w:eastAsia="Arial" w:hAnsi="Arial"/>
                <w:sz w:val="12"/>
                <w:szCs w:val="12"/>
                <w:color w:val="auto"/>
              </w:rPr>
              <w:t>(3.0)</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5"/>
            <w:shd w:val="clear" w:color="auto" w:fill="EEEEEE"/>
          </w:tcPr>
          <w:p>
            <w:pPr>
              <w:jc w:val="right"/>
              <w:ind w:right="300"/>
              <w:spacing w:after="0"/>
              <w:rPr>
                <w:sz w:val="20"/>
                <w:szCs w:val="20"/>
                <w:color w:val="auto"/>
              </w:rPr>
            </w:pPr>
            <w:r>
              <w:rPr>
                <w:rFonts w:ascii="Arial" w:cs="Arial" w:eastAsia="Arial" w:hAnsi="Arial"/>
                <w:sz w:val="12"/>
                <w:szCs w:val="12"/>
                <w:color w:val="auto"/>
              </w:rPr>
              <w:t>(3.0)</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4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80" w:type="dxa"/>
            <w:vAlign w:val="bottom"/>
          </w:tcPr>
          <w:p>
            <w:pPr>
              <w:ind w:left="240"/>
              <w:spacing w:after="0"/>
              <w:rPr>
                <w:sz w:val="20"/>
                <w:szCs w:val="20"/>
                <w:color w:val="auto"/>
              </w:rPr>
            </w:pPr>
            <w:r>
              <w:rPr>
                <w:rFonts w:ascii="Arial" w:cs="Arial" w:eastAsia="Arial" w:hAnsi="Arial"/>
                <w:sz w:val="12"/>
                <w:szCs w:val="12"/>
                <w:color w:val="auto"/>
              </w:rPr>
              <w:t>Common stock issued</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spacing w:after="0"/>
              <w:rPr>
                <w:sz w:val="20"/>
                <w:szCs w:val="20"/>
                <w:color w:val="auto"/>
              </w:rPr>
            </w:pPr>
            <w:r>
              <w:rPr>
                <w:rFonts w:ascii="Arial" w:cs="Arial" w:eastAsia="Arial" w:hAnsi="Arial"/>
                <w:sz w:val="12"/>
                <w:szCs w:val="12"/>
                <w:color w:val="auto"/>
              </w:rPr>
              <w:t>3.9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6.8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Comprehensive loss</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gridSpan w:val="2"/>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gridSpan w:val="3"/>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EEEEEE"/>
          </w:tcPr>
          <w:p>
            <w:pPr>
              <w:jc w:val="right"/>
              <w:ind w:right="400"/>
              <w:spacing w:after="0" w:line="132" w:lineRule="exact"/>
              <w:rPr>
                <w:sz w:val="20"/>
                <w:szCs w:val="20"/>
                <w:color w:val="auto"/>
              </w:rPr>
            </w:pPr>
            <w:r>
              <w:rPr>
                <w:rFonts w:ascii="Arial" w:cs="Arial" w:eastAsia="Arial" w:hAnsi="Arial"/>
                <w:sz w:val="12"/>
                <w:szCs w:val="12"/>
                <w:color w:val="auto"/>
              </w:rPr>
              <w:t>(73.6)</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spacing w:after="0"/>
              <w:rPr>
                <w:sz w:val="20"/>
                <w:szCs w:val="20"/>
                <w:color w:val="auto"/>
              </w:rPr>
            </w:pPr>
            <w:r>
              <w:rPr>
                <w:rFonts w:ascii="Arial" w:cs="Arial" w:eastAsia="Arial" w:hAnsi="Arial"/>
                <w:sz w:val="12"/>
                <w:szCs w:val="12"/>
                <w:color w:val="auto"/>
              </w:rPr>
              <w:t>BALANCE AT DECEMBER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900" w:type="dxa"/>
            <w:vAlign w:val="bottom"/>
            <w:gridSpan w:val="2"/>
          </w:tcPr>
          <w:p>
            <w:pPr>
              <w:ind w:left="120"/>
              <w:spacing w:after="0"/>
              <w:rPr>
                <w:sz w:val="20"/>
                <w:szCs w:val="20"/>
                <w:color w:val="auto"/>
              </w:rPr>
            </w:pPr>
            <w:r>
              <w:rPr>
                <w:rFonts w:ascii="Arial" w:cs="Arial" w:eastAsia="Arial" w:hAnsi="Arial"/>
                <w:sz w:val="12"/>
                <w:szCs w:val="12"/>
                <w:color w:val="auto"/>
              </w:rPr>
              <w:t>2001</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60.7</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2"/>
                <w:szCs w:val="12"/>
                <w:color w:val="auto"/>
              </w:rPr>
              <w:t>$0.6</w:t>
            </w:r>
          </w:p>
        </w:tc>
        <w:tc>
          <w:tcPr>
            <w:tcW w:w="840" w:type="dxa"/>
            <w:vAlign w:val="bottom"/>
            <w:gridSpan w:val="5"/>
          </w:tcPr>
          <w:p>
            <w:pPr>
              <w:jc w:val="right"/>
              <w:ind w:right="20"/>
              <w:spacing w:after="0"/>
              <w:rPr>
                <w:sz w:val="20"/>
                <w:szCs w:val="20"/>
                <w:color w:val="auto"/>
              </w:rPr>
            </w:pPr>
            <w:r>
              <w:rPr>
                <w:rFonts w:ascii="Arial" w:cs="Arial" w:eastAsia="Arial" w:hAnsi="Arial"/>
                <w:sz w:val="12"/>
                <w:szCs w:val="12"/>
                <w:color w:val="auto"/>
              </w:rPr>
              <w:t>$372.9</w:t>
            </w:r>
          </w:p>
        </w:tc>
        <w:tc>
          <w:tcPr>
            <w:tcW w:w="20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$ 383.5</w:t>
            </w:r>
          </w:p>
        </w:tc>
        <w:tc>
          <w:tcPr>
            <w:tcW w:w="2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520"/>
              <w:spacing w:after="0"/>
              <w:rPr>
                <w:sz w:val="20"/>
                <w:szCs w:val="20"/>
                <w:color w:val="auto"/>
              </w:rPr>
            </w:pPr>
            <w:r>
              <w:rPr>
                <w:rFonts w:ascii="Arial" w:cs="Arial" w:eastAsia="Arial" w:hAnsi="Arial"/>
                <w:sz w:val="12"/>
                <w:szCs w:val="12"/>
                <w:color w:val="auto"/>
                <w:w w:val="82"/>
              </w:rPr>
              <w:t>(68.3)</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rPr>
              <w:t>(6.0)</w:t>
            </w:r>
          </w:p>
        </w:tc>
        <w:tc>
          <w:tcPr>
            <w:tcW w:w="940" w:type="dxa"/>
            <w:vAlign w:val="bottom"/>
            <w:gridSpan w:val="5"/>
          </w:tcPr>
          <w:p>
            <w:pPr>
              <w:jc w:val="right"/>
              <w:ind w:right="180"/>
              <w:spacing w:after="0"/>
              <w:rPr>
                <w:sz w:val="20"/>
                <w:szCs w:val="20"/>
                <w:color w:val="auto"/>
              </w:rPr>
            </w:pPr>
            <w:r>
              <w:rPr>
                <w:rFonts w:ascii="Arial" w:cs="Arial" w:eastAsia="Arial" w:hAnsi="Arial"/>
                <w:sz w:val="12"/>
                <w:szCs w:val="12"/>
                <w:color w:val="auto"/>
              </w:rPr>
              <w:t>$(30.4)</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$ 652.3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Net loss (restated)</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80" w:type="dxa"/>
            <w:vAlign w:val="bottom"/>
            <w:gridSpan w:val="4"/>
            <w:shd w:val="clear" w:color="auto" w:fill="EEEEEE"/>
          </w:tcPr>
          <w:p>
            <w:pPr>
              <w:jc w:val="right"/>
              <w:ind w:right="180"/>
              <w:spacing w:after="0" w:line="132" w:lineRule="exact"/>
              <w:rPr>
                <w:sz w:val="20"/>
                <w:szCs w:val="20"/>
                <w:color w:val="auto"/>
              </w:rPr>
            </w:pPr>
            <w:r>
              <w:rPr>
                <w:rFonts w:ascii="Arial" w:cs="Arial" w:eastAsia="Arial" w:hAnsi="Arial"/>
                <w:sz w:val="12"/>
                <w:szCs w:val="12"/>
                <w:color w:val="auto"/>
              </w:rPr>
              <w:t>(205.0)</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5"/>
            <w:shd w:val="clear" w:color="auto" w:fill="EEEEEE"/>
          </w:tcPr>
          <w:p>
            <w:pPr>
              <w:jc w:val="right"/>
              <w:ind w:right="300"/>
              <w:spacing w:after="0" w:line="132" w:lineRule="exact"/>
              <w:rPr>
                <w:sz w:val="20"/>
                <w:szCs w:val="20"/>
                <w:color w:val="auto"/>
              </w:rPr>
            </w:pPr>
            <w:r>
              <w:rPr>
                <w:rFonts w:ascii="Arial" w:cs="Arial" w:eastAsia="Arial" w:hAnsi="Arial"/>
                <w:sz w:val="12"/>
                <w:szCs w:val="12"/>
                <w:color w:val="auto"/>
              </w:rPr>
              <w:t>(205.0)</w:t>
            </w:r>
          </w:p>
        </w:tc>
        <w:tc>
          <w:tcPr>
            <w:tcW w:w="70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EEEEEE"/>
          </w:tcPr>
          <w:p>
            <w:pPr>
              <w:jc w:val="right"/>
              <w:ind w:right="400"/>
              <w:spacing w:after="0" w:line="132" w:lineRule="exact"/>
              <w:rPr>
                <w:sz w:val="20"/>
                <w:szCs w:val="20"/>
                <w:color w:val="auto"/>
              </w:rPr>
            </w:pPr>
            <w:r>
              <w:rPr>
                <w:rFonts w:ascii="Arial" w:cs="Arial" w:eastAsia="Arial" w:hAnsi="Arial"/>
                <w:sz w:val="12"/>
                <w:szCs w:val="12"/>
                <w:color w:val="auto"/>
                <w:w w:val="84"/>
              </w:rPr>
              <w:t>(205.0)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240"/>
              <w:spacing w:after="0" w:line="132" w:lineRule="exact"/>
              <w:rPr>
                <w:sz w:val="20"/>
                <w:szCs w:val="20"/>
                <w:color w:val="auto"/>
              </w:rPr>
            </w:pPr>
            <w:r>
              <w:rPr>
                <w:rFonts w:ascii="Arial" w:cs="Arial" w:eastAsia="Arial" w:hAnsi="Arial"/>
                <w:sz w:val="12"/>
                <w:szCs w:val="12"/>
                <w:color w:val="auto"/>
              </w:rPr>
              <w:t>Dividends, $0.38 per share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80" w:type="dxa"/>
            <w:vAlign w:val="bottom"/>
            <w:gridSpan w:val="4"/>
          </w:tcPr>
          <w:p>
            <w:pPr>
              <w:jc w:val="right"/>
              <w:ind w:right="180"/>
              <w:spacing w:after="0" w:line="132" w:lineRule="exact"/>
              <w:rPr>
                <w:sz w:val="20"/>
                <w:szCs w:val="20"/>
                <w:color w:val="auto"/>
              </w:rPr>
            </w:pPr>
            <w:r>
              <w:rPr>
                <w:rFonts w:ascii="Arial" w:cs="Arial" w:eastAsia="Arial" w:hAnsi="Arial"/>
                <w:sz w:val="12"/>
                <w:szCs w:val="12"/>
                <w:color w:val="auto"/>
              </w:rPr>
              <w:t>(21.8)</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line="132" w:lineRule="exact"/>
              <w:rPr>
                <w:sz w:val="20"/>
                <w:szCs w:val="20"/>
                <w:color w:val="auto"/>
              </w:rPr>
            </w:pPr>
            <w:r>
              <w:rPr>
                <w:rFonts w:ascii="Arial" w:cs="Arial" w:eastAsia="Arial" w:hAnsi="Arial"/>
                <w:sz w:val="12"/>
                <w:szCs w:val="12"/>
                <w:color w:val="auto"/>
              </w:rPr>
              <w:t>(21.8)</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Foreign currency translation</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adjustments (restated)</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2"/>
                <w:szCs w:val="12"/>
                <w:color w:val="auto"/>
                <w:w w:val="93"/>
              </w:rPr>
              <w:t>16.9</w:t>
            </w:r>
          </w:p>
        </w:tc>
        <w:tc>
          <w:tcPr>
            <w:tcW w:w="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16.9</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2"/>
                <w:szCs w:val="12"/>
                <w:color w:val="auto"/>
              </w:rPr>
              <w:t>16.9</w:t>
            </w: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Minimum pension liability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360"/>
              <w:spacing w:after="0" w:line="132" w:lineRule="exact"/>
              <w:rPr>
                <w:sz w:val="20"/>
                <w:szCs w:val="20"/>
                <w:color w:val="auto"/>
              </w:rPr>
            </w:pPr>
            <w:r>
              <w:rPr>
                <w:rFonts w:ascii="Arial" w:cs="Arial" w:eastAsia="Arial" w:hAnsi="Arial"/>
                <w:sz w:val="12"/>
                <w:szCs w:val="12"/>
                <w:color w:val="auto"/>
              </w:rPr>
              <w:t>adjustments, net of tax</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provision of $17.3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2"/>
                <w:szCs w:val="12"/>
                <w:color w:val="auto"/>
                <w:w w:val="82"/>
              </w:rPr>
              <w:t>(29.4)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rPr>
                <w:sz w:val="20"/>
                <w:szCs w:val="20"/>
                <w:color w:val="auto"/>
              </w:rPr>
            </w:pPr>
            <w:r>
              <w:rPr>
                <w:rFonts w:ascii="Arial" w:cs="Arial" w:eastAsia="Arial" w:hAnsi="Arial"/>
                <w:sz w:val="12"/>
                <w:szCs w:val="12"/>
                <w:color w:val="auto"/>
              </w:rPr>
              <w:t>(29.4)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(29.4)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Deferred compensation</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(restated)</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6"/>
            <w:shd w:val="clear" w:color="auto" w:fill="EEEEEE"/>
          </w:tcPr>
          <w:p>
            <w:pPr>
              <w:jc w:val="right"/>
              <w:ind w:right="180"/>
              <w:spacing w:after="0"/>
              <w:rPr>
                <w:sz w:val="20"/>
                <w:szCs w:val="20"/>
                <w:color w:val="auto"/>
              </w:rPr>
            </w:pPr>
            <w:r>
              <w:rPr>
                <w:rFonts w:ascii="Arial" w:cs="Arial" w:eastAsia="Arial" w:hAnsi="Arial"/>
                <w:sz w:val="12"/>
                <w:szCs w:val="12"/>
                <w:color w:val="auto"/>
              </w:rPr>
              <w:t>(1.7)</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ind w:right="56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00"/>
              <w:spacing w:after="0"/>
              <w:rPr>
                <w:sz w:val="20"/>
                <w:szCs w:val="20"/>
                <w:color w:val="auto"/>
              </w:rPr>
            </w:pPr>
            <w:r>
              <w:rPr>
                <w:rFonts w:ascii="Arial" w:cs="Arial" w:eastAsia="Arial" w:hAnsi="Arial"/>
                <w:sz w:val="12"/>
                <w:szCs w:val="12"/>
                <w:color w:val="auto"/>
                <w:w w:val="82"/>
              </w:rPr>
              <w:t>(15.2)</w:t>
            </w:r>
          </w:p>
        </w:tc>
        <w:tc>
          <w:tcPr>
            <w:tcW w:w="940" w:type="dxa"/>
            <w:vAlign w:val="bottom"/>
            <w:gridSpan w:val="5"/>
            <w:shd w:val="clear" w:color="auto" w:fill="EEEEEE"/>
          </w:tcPr>
          <w:p>
            <w:pPr>
              <w:jc w:val="right"/>
              <w:ind w:right="180"/>
              <w:spacing w:after="0"/>
              <w:rPr>
                <w:sz w:val="20"/>
                <w:szCs w:val="20"/>
                <w:color w:val="auto"/>
              </w:rPr>
            </w:pPr>
            <w:r>
              <w:rPr>
                <w:rFonts w:ascii="Arial" w:cs="Arial" w:eastAsia="Arial" w:hAnsi="Arial"/>
                <w:sz w:val="12"/>
                <w:szCs w:val="12"/>
                <w:color w:val="auto"/>
              </w:rPr>
              <w:t>(0.3)</w:t>
            </w:r>
          </w:p>
        </w:tc>
        <w:tc>
          <w:tcPr>
            <w:tcW w:w="1240" w:type="dxa"/>
            <w:vAlign w:val="bottom"/>
            <w:gridSpan w:val="5"/>
            <w:shd w:val="clear" w:color="auto" w:fill="EEEEEE"/>
          </w:tcPr>
          <w:p>
            <w:pPr>
              <w:jc w:val="right"/>
              <w:ind w:right="300"/>
              <w:spacing w:after="0"/>
              <w:rPr>
                <w:sz w:val="20"/>
                <w:szCs w:val="20"/>
                <w:color w:val="auto"/>
              </w:rPr>
            </w:pPr>
            <w:r>
              <w:rPr>
                <w:rFonts w:ascii="Arial" w:cs="Arial" w:eastAsia="Arial" w:hAnsi="Arial"/>
                <w:sz w:val="12"/>
                <w:szCs w:val="12"/>
                <w:color w:val="auto"/>
              </w:rPr>
              <w:t>(17.2)</w:t>
            </w: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Derivatives, net of tax</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provision of $1.3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2.3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2.3</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Common stock issued</w:t>
            </w:r>
          </w:p>
        </w:tc>
        <w:tc>
          <w:tcPr>
            <w:tcW w:w="32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2.4</w:t>
            </w:r>
          </w:p>
        </w:tc>
        <w:tc>
          <w:tcPr>
            <w:tcW w:w="1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5"/>
            <w:shd w:val="clear" w:color="auto" w:fill="EEEEEE"/>
          </w:tcPr>
          <w:p>
            <w:pPr>
              <w:jc w:val="right"/>
              <w:ind w:right="20"/>
              <w:spacing w:after="0" w:line="132" w:lineRule="exact"/>
              <w:rPr>
                <w:sz w:val="20"/>
                <w:szCs w:val="20"/>
                <w:color w:val="auto"/>
              </w:rPr>
            </w:pPr>
            <w:r>
              <w:rPr>
                <w:rFonts w:ascii="Arial" w:cs="Arial" w:eastAsia="Arial" w:hAnsi="Arial"/>
                <w:sz w:val="12"/>
                <w:szCs w:val="12"/>
                <w:color w:val="auto"/>
              </w:rPr>
              <w:t>29.3</w:t>
            </w: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gridSpan w:val="2"/>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line="132" w:lineRule="exact"/>
              <w:rPr>
                <w:sz w:val="20"/>
                <w:szCs w:val="20"/>
                <w:color w:val="auto"/>
              </w:rPr>
            </w:pPr>
            <w:r>
              <w:rPr>
                <w:rFonts w:ascii="Arial" w:cs="Arial" w:eastAsia="Arial" w:hAnsi="Arial"/>
                <w:sz w:val="12"/>
                <w:szCs w:val="12"/>
                <w:color w:val="auto"/>
              </w:rPr>
              <w:t>29.3</w:t>
            </w: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Tax benefits of stock</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compensation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Comprehensive loss</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gridSpan w:val="2"/>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640" w:type="dxa"/>
            <w:vAlign w:val="bottom"/>
            <w:gridSpan w:val="3"/>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EEEEEE"/>
          </w:tcPr>
          <w:p>
            <w:pPr>
              <w:jc w:val="right"/>
              <w:ind w:right="400"/>
              <w:spacing w:after="0" w:line="132" w:lineRule="exact"/>
              <w:rPr>
                <w:sz w:val="20"/>
                <w:szCs w:val="20"/>
                <w:color w:val="auto"/>
              </w:rPr>
            </w:pPr>
            <w:r>
              <w:rPr>
                <w:rFonts w:ascii="Arial" w:cs="Arial" w:eastAsia="Arial" w:hAnsi="Arial"/>
                <w:sz w:val="12"/>
                <w:szCs w:val="12"/>
                <w:color w:val="auto"/>
                <w:w w:val="84"/>
              </w:rPr>
              <w:t>(215.2)</w:t>
            </w:r>
          </w:p>
        </w:tc>
        <w:tc>
          <w:tcPr>
            <w:tcW w:w="0" w:type="dxa"/>
            <w:vAlign w:val="bottom"/>
          </w:tcPr>
          <w:p>
            <w:pPr>
              <w:spacing w:after="0"/>
              <w:rPr>
                <w:sz w:val="1"/>
                <w:szCs w:val="1"/>
                <w:color w:val="auto"/>
              </w:rPr>
            </w:pPr>
          </w:p>
        </w:tc>
      </w:tr>
      <w:tr>
        <w:trPr>
          <w:trHeight w:val="127"/>
        </w:trPr>
        <w:tc>
          <w:tcPr>
            <w:tcW w:w="1900" w:type="dxa"/>
            <w:vAlign w:val="bottom"/>
            <w:gridSpan w:val="2"/>
            <w:vMerge w:val="restart"/>
          </w:tcPr>
          <w:p>
            <w:pPr>
              <w:spacing w:after="0"/>
              <w:rPr>
                <w:sz w:val="20"/>
                <w:szCs w:val="20"/>
                <w:color w:val="auto"/>
              </w:rPr>
            </w:pPr>
            <w:r>
              <w:rPr>
                <w:rFonts w:ascii="Arial" w:cs="Arial" w:eastAsia="Arial" w:hAnsi="Arial"/>
                <w:sz w:val="12"/>
                <w:szCs w:val="12"/>
                <w:color w:val="auto"/>
              </w:rPr>
              <w:t>BALANCE AT DECEMBER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100"/>
              <w:spacing w:after="0"/>
              <w:rPr>
                <w:sz w:val="20"/>
                <w:szCs w:val="20"/>
                <w:color w:val="auto"/>
              </w:rPr>
            </w:pPr>
            <w:r>
              <w:rPr>
                <w:rFonts w:ascii="Arial" w:cs="Arial" w:eastAsia="Arial" w:hAnsi="Arial"/>
                <w:sz w:val="12"/>
                <w:szCs w:val="12"/>
                <w:color w:val="auto"/>
              </w:rPr>
              <w:t>2002 (restated)</w:t>
            </w: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63.1</w:t>
            </w:r>
          </w:p>
        </w:tc>
        <w:tc>
          <w:tcPr>
            <w:tcW w:w="120" w:type="dxa"/>
            <w:vAlign w:val="bottom"/>
          </w:tcPr>
          <w:p>
            <w:pPr>
              <w:spacing w:after="0"/>
              <w:rPr>
                <w:sz w:val="12"/>
                <w:szCs w:val="12"/>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2"/>
                <w:szCs w:val="12"/>
                <w:color w:val="auto"/>
              </w:rPr>
              <w:t>$0.6</w:t>
            </w:r>
          </w:p>
        </w:tc>
        <w:tc>
          <w:tcPr>
            <w:tcW w:w="840" w:type="dxa"/>
            <w:vAlign w:val="bottom"/>
            <w:gridSpan w:val="5"/>
          </w:tcPr>
          <w:p>
            <w:pPr>
              <w:jc w:val="right"/>
              <w:ind w:right="20"/>
              <w:spacing w:after="0"/>
              <w:rPr>
                <w:sz w:val="20"/>
                <w:szCs w:val="20"/>
                <w:color w:val="auto"/>
              </w:rPr>
            </w:pPr>
            <w:r>
              <w:rPr>
                <w:rFonts w:ascii="Arial" w:cs="Arial" w:eastAsia="Arial" w:hAnsi="Arial"/>
                <w:sz w:val="12"/>
                <w:szCs w:val="12"/>
                <w:color w:val="auto"/>
              </w:rPr>
              <w:t>$403.4</w:t>
            </w:r>
          </w:p>
        </w:tc>
        <w:tc>
          <w:tcPr>
            <w:tcW w:w="20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$ 156.7</w:t>
            </w:r>
          </w:p>
        </w:tc>
        <w:tc>
          <w:tcPr>
            <w:tcW w:w="2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520"/>
              <w:spacing w:after="0"/>
              <w:rPr>
                <w:sz w:val="20"/>
                <w:szCs w:val="20"/>
                <w:color w:val="auto"/>
              </w:rPr>
            </w:pPr>
            <w:r>
              <w:rPr>
                <w:rFonts w:ascii="Arial" w:cs="Arial" w:eastAsia="Arial" w:hAnsi="Arial"/>
                <w:sz w:val="12"/>
                <w:szCs w:val="12"/>
                <w:color w:val="auto"/>
                <w:w w:val="82"/>
              </w:rPr>
              <w:t>(78.5)</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2"/>
                <w:szCs w:val="12"/>
                <w:color w:val="auto"/>
                <w:w w:val="82"/>
              </w:rPr>
              <w:t>(21.2)</w:t>
            </w:r>
          </w:p>
        </w:tc>
        <w:tc>
          <w:tcPr>
            <w:tcW w:w="940" w:type="dxa"/>
            <w:vAlign w:val="bottom"/>
            <w:gridSpan w:val="5"/>
          </w:tcPr>
          <w:p>
            <w:pPr>
              <w:jc w:val="right"/>
              <w:ind w:right="180"/>
              <w:spacing w:after="0"/>
              <w:rPr>
                <w:sz w:val="20"/>
                <w:szCs w:val="20"/>
                <w:color w:val="auto"/>
              </w:rPr>
            </w:pPr>
            <w:r>
              <w:rPr>
                <w:rFonts w:ascii="Arial" w:cs="Arial" w:eastAsia="Arial" w:hAnsi="Arial"/>
                <w:sz w:val="12"/>
                <w:szCs w:val="12"/>
                <w:color w:val="auto"/>
              </w:rPr>
              <w:t>$(30.7)</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$ 430.3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Net income</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84.4</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580" w:type="dxa"/>
            <w:vAlign w:val="bottom"/>
            <w:gridSpan w:val="2"/>
            <w:shd w:val="clear" w:color="auto" w:fill="EEEEEE"/>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460" w:type="dxa"/>
            <w:vAlign w:val="bottom"/>
            <w:gridSpan w:val="3"/>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line="132" w:lineRule="exact"/>
              <w:rPr>
                <w:sz w:val="20"/>
                <w:szCs w:val="20"/>
                <w:color w:val="auto"/>
              </w:rPr>
            </w:pPr>
            <w:r>
              <w:rPr>
                <w:rFonts w:ascii="Arial" w:cs="Arial" w:eastAsia="Arial" w:hAnsi="Arial"/>
                <w:sz w:val="12"/>
                <w:szCs w:val="12"/>
                <w:color w:val="auto"/>
              </w:rPr>
              <w:t>84.4</w:t>
            </w:r>
          </w:p>
        </w:tc>
        <w:tc>
          <w:tcPr>
            <w:tcW w:w="320" w:type="dxa"/>
            <w:vAlign w:val="bottom"/>
            <w:shd w:val="clear" w:color="auto" w:fill="EEEEEE"/>
          </w:tcPr>
          <w:p>
            <w:pPr>
              <w:spacing w:after="0"/>
              <w:rPr>
                <w:sz w:val="11"/>
                <w:szCs w:val="11"/>
                <w:color w:val="auto"/>
              </w:rPr>
            </w:pPr>
          </w:p>
        </w:tc>
        <w:tc>
          <w:tcPr>
            <w:tcW w:w="70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2"/>
                <w:szCs w:val="12"/>
                <w:color w:val="auto"/>
              </w:rPr>
              <w:t>$</w:t>
            </w:r>
          </w:p>
        </w:tc>
        <w:tc>
          <w:tcPr>
            <w:tcW w:w="300" w:type="dxa"/>
            <w:vAlign w:val="bottom"/>
            <w:shd w:val="clear" w:color="auto" w:fill="EEEEEE"/>
          </w:tcPr>
          <w:p>
            <w:pPr>
              <w:jc w:val="right"/>
              <w:spacing w:after="0" w:line="132" w:lineRule="exact"/>
              <w:rPr>
                <w:sz w:val="20"/>
                <w:szCs w:val="20"/>
                <w:color w:val="auto"/>
              </w:rPr>
            </w:pPr>
            <w:r>
              <w:rPr>
                <w:rFonts w:ascii="Arial" w:cs="Arial" w:eastAsia="Arial" w:hAnsi="Arial"/>
                <w:sz w:val="12"/>
                <w:szCs w:val="12"/>
                <w:color w:val="auto"/>
              </w:rPr>
              <w:t>84.4</w:t>
            </w: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240"/>
              <w:spacing w:after="0" w:line="132" w:lineRule="exact"/>
              <w:rPr>
                <w:sz w:val="20"/>
                <w:szCs w:val="20"/>
                <w:color w:val="auto"/>
              </w:rPr>
            </w:pPr>
            <w:r>
              <w:rPr>
                <w:rFonts w:ascii="Arial" w:cs="Arial" w:eastAsia="Arial" w:hAnsi="Arial"/>
                <w:sz w:val="12"/>
                <w:szCs w:val="12"/>
                <w:color w:val="auto"/>
              </w:rPr>
              <w:t>Dividends, $0.38 per share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80" w:type="dxa"/>
            <w:vAlign w:val="bottom"/>
            <w:gridSpan w:val="4"/>
          </w:tcPr>
          <w:p>
            <w:pPr>
              <w:jc w:val="right"/>
              <w:ind w:right="180"/>
              <w:spacing w:after="0" w:line="132" w:lineRule="exact"/>
              <w:rPr>
                <w:sz w:val="20"/>
                <w:szCs w:val="20"/>
                <w:color w:val="auto"/>
              </w:rPr>
            </w:pPr>
            <w:r>
              <w:rPr>
                <w:rFonts w:ascii="Arial" w:cs="Arial" w:eastAsia="Arial" w:hAnsi="Arial"/>
                <w:sz w:val="12"/>
                <w:szCs w:val="12"/>
                <w:color w:val="auto"/>
              </w:rPr>
              <w:t>(22.2)</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line="132" w:lineRule="exact"/>
              <w:rPr>
                <w:sz w:val="20"/>
                <w:szCs w:val="20"/>
                <w:color w:val="auto"/>
              </w:rPr>
            </w:pPr>
            <w:r>
              <w:rPr>
                <w:rFonts w:ascii="Arial" w:cs="Arial" w:eastAsia="Arial" w:hAnsi="Arial"/>
                <w:sz w:val="12"/>
                <w:szCs w:val="12"/>
                <w:color w:val="auto"/>
              </w:rPr>
              <w:t>(22.2)</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Foreign currency translation</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adjustments</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2"/>
                <w:szCs w:val="12"/>
                <w:color w:val="auto"/>
                <w:w w:val="93"/>
              </w:rPr>
              <w:t>63.3</w:t>
            </w:r>
          </w:p>
        </w:tc>
        <w:tc>
          <w:tcPr>
            <w:tcW w:w="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63.3</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2"/>
                <w:szCs w:val="12"/>
                <w:color w:val="auto"/>
              </w:rPr>
              <w:t>63.3</w:t>
            </w: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Minimum pension liability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360"/>
              <w:spacing w:after="0" w:line="132" w:lineRule="exact"/>
              <w:rPr>
                <w:sz w:val="20"/>
                <w:szCs w:val="20"/>
                <w:color w:val="auto"/>
              </w:rPr>
            </w:pPr>
            <w:r>
              <w:rPr>
                <w:rFonts w:ascii="Arial" w:cs="Arial" w:eastAsia="Arial" w:hAnsi="Arial"/>
                <w:sz w:val="12"/>
                <w:szCs w:val="12"/>
                <w:color w:val="auto"/>
              </w:rPr>
              <w:t>adjustments, net of tax</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provision of $0.7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2"/>
                <w:szCs w:val="12"/>
                <w:color w:val="auto"/>
              </w:rPr>
              <w:t>(5.2)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gridSpan w:val="5"/>
          </w:tcPr>
          <w:p>
            <w:pPr>
              <w:jc w:val="right"/>
              <w:ind w:right="300"/>
              <w:spacing w:after="0"/>
              <w:rPr>
                <w:sz w:val="20"/>
                <w:szCs w:val="20"/>
                <w:color w:val="auto"/>
              </w:rPr>
            </w:pPr>
            <w:r>
              <w:rPr>
                <w:rFonts w:ascii="Arial" w:cs="Arial" w:eastAsia="Arial" w:hAnsi="Arial"/>
                <w:sz w:val="12"/>
                <w:szCs w:val="12"/>
                <w:color w:val="auto"/>
              </w:rPr>
              <w:t>(5.2)</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shd w:val="clear" w:color="auto" w:fill="EEEEEE"/>
          </w:tcPr>
          <w:p>
            <w:pPr>
              <w:ind w:left="240"/>
              <w:spacing w:after="0" w:line="132" w:lineRule="exact"/>
              <w:rPr>
                <w:sz w:val="20"/>
                <w:szCs w:val="20"/>
                <w:color w:val="auto"/>
              </w:rPr>
            </w:pPr>
            <w:r>
              <w:rPr>
                <w:rFonts w:ascii="Arial" w:cs="Arial" w:eastAsia="Arial" w:hAnsi="Arial"/>
                <w:sz w:val="12"/>
                <w:szCs w:val="12"/>
                <w:color w:val="auto"/>
              </w:rPr>
              <w:t>Deferred compensation</w:t>
            </w: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gridSpan w:val="2"/>
            <w:shd w:val="clear" w:color="auto" w:fill="EEEEEE"/>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300" w:type="dxa"/>
            <w:vAlign w:val="bottom"/>
            <w:gridSpan w:val="2"/>
            <w:shd w:val="clear" w:color="auto" w:fill="EEEEEE"/>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5"/>
            <w:shd w:val="clear" w:color="auto" w:fill="EEEEEE"/>
          </w:tcPr>
          <w:p>
            <w:pPr>
              <w:jc w:val="right"/>
              <w:ind w:right="20"/>
              <w:spacing w:after="0" w:line="132" w:lineRule="exact"/>
              <w:rPr>
                <w:sz w:val="20"/>
                <w:szCs w:val="20"/>
                <w:color w:val="auto"/>
              </w:rPr>
            </w:pPr>
            <w:r>
              <w:rPr>
                <w:rFonts w:ascii="Arial" w:cs="Arial" w:eastAsia="Arial" w:hAnsi="Arial"/>
                <w:sz w:val="12"/>
                <w:szCs w:val="12"/>
                <w:color w:val="auto"/>
              </w:rPr>
              <w:t>3.1</w:t>
            </w:r>
          </w:p>
        </w:tc>
        <w:tc>
          <w:tcPr>
            <w:tcW w:w="2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20" w:type="dxa"/>
            <w:vAlign w:val="bottom"/>
            <w:gridSpan w:val="2"/>
            <w:shd w:val="clear" w:color="auto" w:fill="EEEEEE"/>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00" w:type="dxa"/>
            <w:vAlign w:val="bottom"/>
            <w:gridSpan w:val="3"/>
            <w:shd w:val="clear" w:color="auto" w:fill="EEEEEE"/>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40" w:type="dxa"/>
            <w:vAlign w:val="bottom"/>
            <w:shd w:val="clear" w:color="auto" w:fill="EEEEEE"/>
          </w:tcPr>
          <w:p>
            <w:pPr>
              <w:jc w:val="right"/>
              <w:spacing w:after="0" w:line="132" w:lineRule="exact"/>
              <w:rPr>
                <w:sz w:val="20"/>
                <w:szCs w:val="20"/>
                <w:color w:val="auto"/>
              </w:rPr>
            </w:pPr>
            <w:r>
              <w:rPr>
                <w:rFonts w:ascii="Arial" w:cs="Arial" w:eastAsia="Arial" w:hAnsi="Arial"/>
                <w:sz w:val="12"/>
                <w:szCs w:val="12"/>
                <w:color w:val="auto"/>
              </w:rPr>
              <w:t>3.0</w:t>
            </w:r>
          </w:p>
        </w:tc>
        <w:tc>
          <w:tcPr>
            <w:tcW w:w="340" w:type="dxa"/>
            <w:vAlign w:val="bottom"/>
            <w:shd w:val="clear" w:color="auto" w:fill="EEEEEE"/>
          </w:tcPr>
          <w:p>
            <w:pPr>
              <w:spacing w:after="0"/>
              <w:rPr>
                <w:sz w:val="11"/>
                <w:szCs w:val="11"/>
                <w:color w:val="auto"/>
              </w:rPr>
            </w:pPr>
          </w:p>
        </w:tc>
        <w:tc>
          <w:tcPr>
            <w:tcW w:w="940" w:type="dxa"/>
            <w:vAlign w:val="bottom"/>
            <w:gridSpan w:val="5"/>
            <w:shd w:val="clear" w:color="auto" w:fill="EEEEEE"/>
          </w:tcPr>
          <w:p>
            <w:pPr>
              <w:jc w:val="right"/>
              <w:ind w:right="180"/>
              <w:spacing w:after="0" w:line="132" w:lineRule="exact"/>
              <w:rPr>
                <w:sz w:val="20"/>
                <w:szCs w:val="20"/>
                <w:color w:val="auto"/>
              </w:rPr>
            </w:pPr>
            <w:r>
              <w:rPr>
                <w:rFonts w:ascii="Arial" w:cs="Arial" w:eastAsia="Arial" w:hAnsi="Arial"/>
                <w:sz w:val="12"/>
                <w:szCs w:val="12"/>
                <w:color w:val="auto"/>
              </w:rPr>
              <w:t>(0.4)</w:t>
            </w:r>
          </w:p>
        </w:tc>
        <w:tc>
          <w:tcPr>
            <w:tcW w:w="920" w:type="dxa"/>
            <w:vAlign w:val="bottom"/>
            <w:gridSpan w:val="4"/>
            <w:shd w:val="clear" w:color="auto" w:fill="EEEEEE"/>
          </w:tcPr>
          <w:p>
            <w:pPr>
              <w:jc w:val="right"/>
              <w:ind w:right="20"/>
              <w:spacing w:after="0" w:line="132" w:lineRule="exact"/>
              <w:rPr>
                <w:sz w:val="20"/>
                <w:szCs w:val="20"/>
                <w:color w:val="auto"/>
              </w:rPr>
            </w:pPr>
            <w:r>
              <w:rPr>
                <w:rFonts w:ascii="Arial" w:cs="Arial" w:eastAsia="Arial" w:hAnsi="Arial"/>
                <w:sz w:val="12"/>
                <w:szCs w:val="12"/>
                <w:color w:val="auto"/>
              </w:rPr>
              <w:t>5.7</w:t>
            </w:r>
          </w:p>
        </w:tc>
        <w:tc>
          <w:tcPr>
            <w:tcW w:w="3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ind w:left="240"/>
              <w:spacing w:after="0" w:line="122" w:lineRule="exact"/>
              <w:rPr>
                <w:sz w:val="20"/>
                <w:szCs w:val="20"/>
                <w:color w:val="auto"/>
              </w:rPr>
            </w:pPr>
            <w:r>
              <w:rPr>
                <w:rFonts w:ascii="Arial" w:cs="Arial" w:eastAsia="Arial" w:hAnsi="Arial"/>
                <w:sz w:val="12"/>
                <w:szCs w:val="12"/>
                <w:color w:val="auto"/>
              </w:rPr>
              <w:t>Unrealized gain on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360"/>
              <w:spacing w:after="0" w:line="132" w:lineRule="exact"/>
              <w:rPr>
                <w:sz w:val="20"/>
                <w:szCs w:val="20"/>
                <w:color w:val="auto"/>
              </w:rPr>
            </w:pPr>
            <w:r>
              <w:rPr>
                <w:rFonts w:ascii="Arial" w:cs="Arial" w:eastAsia="Arial" w:hAnsi="Arial"/>
                <w:sz w:val="12"/>
                <w:szCs w:val="12"/>
                <w:color w:val="auto"/>
              </w:rPr>
              <w:t>investments, net of tax</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provision of $5.2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12.2</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2"/>
                <w:szCs w:val="12"/>
                <w:color w:val="auto"/>
              </w:rPr>
              <w:t>12.2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12.2</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Derivatives, net of tax</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provision of $0.9</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48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2"/>
                <w:szCs w:val="12"/>
                <w:color w:val="auto"/>
              </w:rPr>
              <w:t>1.8</w:t>
            </w:r>
          </w:p>
        </w:tc>
        <w:tc>
          <w:tcPr>
            <w:tcW w:w="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1.8</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2"/>
                <w:szCs w:val="12"/>
                <w:color w:val="auto"/>
              </w:rPr>
              <w:t>1.8</w:t>
            </w: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80" w:type="dxa"/>
            <w:vAlign w:val="bottom"/>
          </w:tcPr>
          <w:p>
            <w:pPr>
              <w:ind w:left="240"/>
              <w:spacing w:after="0" w:line="132" w:lineRule="exact"/>
              <w:rPr>
                <w:sz w:val="20"/>
                <w:szCs w:val="20"/>
                <w:color w:val="auto"/>
              </w:rPr>
            </w:pPr>
            <w:r>
              <w:rPr>
                <w:rFonts w:ascii="Arial" w:cs="Arial" w:eastAsia="Arial" w:hAnsi="Arial"/>
                <w:sz w:val="12"/>
                <w:szCs w:val="12"/>
                <w:color w:val="auto"/>
              </w:rPr>
              <w:t>Common stock issued</w:t>
            </w:r>
          </w:p>
        </w:tc>
        <w:tc>
          <w:tcPr>
            <w:tcW w:w="32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1.3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tcPr>
          <w:p>
            <w:pPr>
              <w:jc w:val="right"/>
              <w:ind w:right="14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5"/>
          </w:tcPr>
          <w:p>
            <w:pPr>
              <w:jc w:val="right"/>
              <w:ind w:right="20"/>
              <w:spacing w:after="0" w:line="132" w:lineRule="exact"/>
              <w:rPr>
                <w:sz w:val="20"/>
                <w:szCs w:val="20"/>
                <w:color w:val="auto"/>
              </w:rPr>
            </w:pPr>
            <w:r>
              <w:rPr>
                <w:rFonts w:ascii="Arial" w:cs="Arial" w:eastAsia="Arial" w:hAnsi="Arial"/>
                <w:sz w:val="12"/>
                <w:szCs w:val="12"/>
                <w:color w:val="auto"/>
              </w:rPr>
              <w:t>12.5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jc w:val="right"/>
              <w:ind w:right="56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jc w:val="right"/>
              <w:ind w:right="340"/>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tcPr>
          <w:p>
            <w:pPr>
              <w:jc w:val="right"/>
              <w:ind w:right="220"/>
              <w:spacing w:after="0" w:line="132" w:lineRule="exact"/>
              <w:rPr>
                <w:sz w:val="20"/>
                <w:szCs w:val="20"/>
                <w:color w:val="auto"/>
              </w:rPr>
            </w:pPr>
            <w:r>
              <w:rPr>
                <w:rFonts w:ascii="Arial" w:cs="Arial" w:eastAsia="Arial" w:hAnsi="Arial"/>
                <w:sz w:val="12"/>
                <w:szCs w:val="12"/>
                <w:color w:val="auto"/>
              </w:rPr>
              <w:t>—</w:t>
            </w:r>
          </w:p>
        </w:tc>
        <w:tc>
          <w:tcPr>
            <w:tcW w:w="920" w:type="dxa"/>
            <w:vAlign w:val="bottom"/>
            <w:gridSpan w:val="4"/>
          </w:tcPr>
          <w:p>
            <w:pPr>
              <w:jc w:val="right"/>
              <w:ind w:right="20"/>
              <w:spacing w:after="0" w:line="132" w:lineRule="exact"/>
              <w:rPr>
                <w:sz w:val="20"/>
                <w:szCs w:val="20"/>
                <w:color w:val="auto"/>
              </w:rPr>
            </w:pPr>
            <w:r>
              <w:rPr>
                <w:rFonts w:ascii="Arial" w:cs="Arial" w:eastAsia="Arial" w:hAnsi="Arial"/>
                <w:sz w:val="12"/>
                <w:szCs w:val="12"/>
                <w:color w:val="auto"/>
              </w:rPr>
              <w:t>12.5</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right"/>
              <w:ind w:right="44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shd w:val="clear" w:color="auto" w:fill="EEEEEE"/>
          </w:tcPr>
          <w:p>
            <w:pPr>
              <w:ind w:left="240"/>
              <w:spacing w:after="0" w:line="122" w:lineRule="exact"/>
              <w:rPr>
                <w:sz w:val="20"/>
                <w:szCs w:val="20"/>
                <w:color w:val="auto"/>
              </w:rPr>
            </w:pPr>
            <w:r>
              <w:rPr>
                <w:rFonts w:ascii="Arial" w:cs="Arial" w:eastAsia="Arial" w:hAnsi="Arial"/>
                <w:sz w:val="12"/>
                <w:szCs w:val="12"/>
                <w:color w:val="auto"/>
              </w:rPr>
              <w:t>Tax benefits of stock</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360"/>
              <w:spacing w:after="0"/>
              <w:rPr>
                <w:sz w:val="20"/>
                <w:szCs w:val="20"/>
                <w:color w:val="auto"/>
              </w:rPr>
            </w:pPr>
            <w:r>
              <w:rPr>
                <w:rFonts w:ascii="Arial" w:cs="Arial" w:eastAsia="Arial" w:hAnsi="Arial"/>
                <w:sz w:val="12"/>
                <w:szCs w:val="12"/>
                <w:color w:val="auto"/>
              </w:rPr>
              <w:t>compensation</w:t>
            </w:r>
          </w:p>
        </w:tc>
        <w:tc>
          <w:tcPr>
            <w:tcW w:w="1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gridSpan w:val="5"/>
            <w:shd w:val="clear" w:color="auto" w:fill="EEEEEE"/>
          </w:tcPr>
          <w:p>
            <w:pPr>
              <w:jc w:val="right"/>
              <w:ind w:right="20"/>
              <w:spacing w:after="0"/>
              <w:rPr>
                <w:sz w:val="20"/>
                <w:szCs w:val="20"/>
                <w:color w:val="auto"/>
              </w:rPr>
            </w:pPr>
            <w:r>
              <w:rPr>
                <w:rFonts w:ascii="Arial" w:cs="Arial" w:eastAsia="Arial" w:hAnsi="Arial"/>
                <w:sz w:val="12"/>
                <w:szCs w:val="12"/>
                <w:color w:val="auto"/>
              </w:rPr>
              <w:t>1.4</w:t>
            </w:r>
          </w:p>
        </w:tc>
        <w:tc>
          <w:tcPr>
            <w:tcW w:w="2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00" w:type="dxa"/>
            <w:vAlign w:val="bottom"/>
            <w:gridSpan w:val="3"/>
            <w:shd w:val="clear" w:color="auto" w:fill="EEEEEE"/>
          </w:tcPr>
          <w:p>
            <w:pPr>
              <w:jc w:val="right"/>
              <w:ind w:right="56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60" w:type="dxa"/>
            <w:vAlign w:val="bottom"/>
            <w:gridSpan w:val="3"/>
            <w:shd w:val="clear" w:color="auto" w:fill="EEEEEE"/>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1.4</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80" w:type="dxa"/>
            <w:vAlign w:val="bottom"/>
          </w:tcPr>
          <w:p>
            <w:pPr>
              <w:ind w:left="240"/>
              <w:spacing w:after="0"/>
              <w:rPr>
                <w:sz w:val="20"/>
                <w:szCs w:val="20"/>
                <w:color w:val="auto"/>
              </w:rPr>
            </w:pPr>
            <w:r>
              <w:rPr>
                <w:rFonts w:ascii="Arial" w:cs="Arial" w:eastAsia="Arial" w:hAnsi="Arial"/>
                <w:sz w:val="12"/>
                <w:szCs w:val="12"/>
                <w:color w:val="auto"/>
              </w:rPr>
              <w:t>Comprehensive income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gridSpan w:val="3"/>
          </w:tcPr>
          <w:p>
            <w:pPr>
              <w:jc w:val="right"/>
              <w:ind w:right="5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156.5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shd w:val="clear" w:color="auto" w:fill="EEEEEE"/>
          </w:tcPr>
          <w:p>
            <w:pPr>
              <w:spacing w:after="0" w:line="122" w:lineRule="exact"/>
              <w:rPr>
                <w:sz w:val="20"/>
                <w:szCs w:val="20"/>
                <w:color w:val="auto"/>
              </w:rPr>
            </w:pPr>
            <w:r>
              <w:rPr>
                <w:rFonts w:ascii="Arial" w:cs="Arial" w:eastAsia="Arial" w:hAnsi="Arial"/>
                <w:sz w:val="12"/>
                <w:szCs w:val="12"/>
                <w:color w:val="auto"/>
              </w:rPr>
              <w:t>BALANCE AT DECEMBER 31,</w:t>
            </w: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shd w:val="clear" w:color="auto" w:fill="EEEEEE"/>
          </w:tcPr>
          <w:p>
            <w:pPr>
              <w:ind w:left="100"/>
              <w:spacing w:after="0"/>
              <w:rPr>
                <w:sz w:val="20"/>
                <w:szCs w:val="20"/>
                <w:color w:val="auto"/>
              </w:rPr>
            </w:pPr>
            <w:r>
              <w:rPr>
                <w:rFonts w:ascii="Arial" w:cs="Arial" w:eastAsia="Arial" w:hAnsi="Arial"/>
                <w:sz w:val="12"/>
                <w:szCs w:val="12"/>
                <w:color w:val="auto"/>
              </w:rPr>
              <w:t>2003</w:t>
            </w:r>
          </w:p>
        </w:tc>
        <w:tc>
          <w:tcPr>
            <w:tcW w:w="320" w:type="dxa"/>
            <w:vAlign w:val="bottom"/>
            <w:gridSpan w:val="3"/>
            <w:shd w:val="clear" w:color="auto" w:fill="EEEEEE"/>
          </w:tcPr>
          <w:p>
            <w:pPr>
              <w:jc w:val="right"/>
              <w:spacing w:after="0"/>
              <w:rPr>
                <w:sz w:val="20"/>
                <w:szCs w:val="20"/>
                <w:color w:val="auto"/>
              </w:rPr>
            </w:pPr>
            <w:r>
              <w:rPr>
                <w:rFonts w:ascii="Arial" w:cs="Arial" w:eastAsia="Arial" w:hAnsi="Arial"/>
                <w:sz w:val="12"/>
                <w:szCs w:val="12"/>
                <w:color w:val="auto"/>
              </w:rPr>
              <w:t>64.4</w:t>
            </w:r>
          </w:p>
        </w:tc>
        <w:tc>
          <w:tcPr>
            <w:tcW w:w="120" w:type="dxa"/>
            <w:vAlign w:val="bottom"/>
            <w:shd w:val="clear" w:color="auto" w:fill="EEEEEE"/>
          </w:tcPr>
          <w:p>
            <w:pPr>
              <w:spacing w:after="0"/>
              <w:rPr>
                <w:sz w:val="12"/>
                <w:szCs w:val="12"/>
                <w:color w:val="auto"/>
              </w:rPr>
            </w:pPr>
          </w:p>
        </w:tc>
        <w:tc>
          <w:tcPr>
            <w:tcW w:w="680" w:type="dxa"/>
            <w:vAlign w:val="bottom"/>
            <w:gridSpan w:val="4"/>
            <w:shd w:val="clear" w:color="auto" w:fill="EEEEEE"/>
          </w:tcPr>
          <w:p>
            <w:pPr>
              <w:jc w:val="right"/>
              <w:ind w:right="140"/>
              <w:spacing w:after="0"/>
              <w:rPr>
                <w:sz w:val="20"/>
                <w:szCs w:val="20"/>
                <w:color w:val="auto"/>
              </w:rPr>
            </w:pPr>
            <w:r>
              <w:rPr>
                <w:rFonts w:ascii="Arial" w:cs="Arial" w:eastAsia="Arial" w:hAnsi="Arial"/>
                <w:sz w:val="12"/>
                <w:szCs w:val="12"/>
                <w:color w:val="auto"/>
              </w:rPr>
              <w:t>$0.6</w:t>
            </w:r>
          </w:p>
        </w:tc>
        <w:tc>
          <w:tcPr>
            <w:tcW w:w="840" w:type="dxa"/>
            <w:vAlign w:val="bottom"/>
            <w:gridSpan w:val="5"/>
            <w:shd w:val="clear" w:color="auto" w:fill="EEEEEE"/>
          </w:tcPr>
          <w:p>
            <w:pPr>
              <w:jc w:val="right"/>
              <w:ind w:right="20"/>
              <w:spacing w:after="0"/>
              <w:rPr>
                <w:sz w:val="20"/>
                <w:szCs w:val="20"/>
                <w:color w:val="auto"/>
              </w:rPr>
            </w:pPr>
            <w:r>
              <w:rPr>
                <w:rFonts w:ascii="Arial" w:cs="Arial" w:eastAsia="Arial" w:hAnsi="Arial"/>
                <w:sz w:val="12"/>
                <w:szCs w:val="12"/>
                <w:color w:val="auto"/>
              </w:rPr>
              <w:t>$420.4</w:t>
            </w:r>
          </w:p>
        </w:tc>
        <w:tc>
          <w:tcPr>
            <w:tcW w:w="200" w:type="dxa"/>
            <w:vAlign w:val="bottom"/>
            <w:shd w:val="clear" w:color="auto" w:fill="EEEEEE"/>
          </w:tcPr>
          <w:p>
            <w:pPr>
              <w:spacing w:after="0"/>
              <w:rPr>
                <w:sz w:val="12"/>
                <w:szCs w:val="12"/>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2"/>
                <w:szCs w:val="12"/>
                <w:color w:val="auto"/>
              </w:rPr>
              <w:t>$ 218.9</w:t>
            </w:r>
          </w:p>
        </w:tc>
        <w:tc>
          <w:tcPr>
            <w:tcW w:w="22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3"/>
            <w:shd w:val="clear" w:color="auto" w:fill="EEEEEE"/>
          </w:tcPr>
          <w:p>
            <w:pPr>
              <w:jc w:val="right"/>
              <w:ind w:right="520"/>
              <w:spacing w:after="0"/>
              <w:rPr>
                <w:sz w:val="20"/>
                <w:szCs w:val="20"/>
                <w:color w:val="auto"/>
              </w:rPr>
            </w:pPr>
            <w:r>
              <w:rPr>
                <w:rFonts w:ascii="Arial" w:cs="Arial" w:eastAsia="Arial" w:hAnsi="Arial"/>
                <w:sz w:val="12"/>
                <w:szCs w:val="12"/>
                <w:color w:val="auto"/>
              </w:rPr>
              <w:t>(6.4)</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EEEEEE"/>
          </w:tcPr>
          <w:p>
            <w:pPr>
              <w:jc w:val="right"/>
              <w:ind w:right="300"/>
              <w:spacing w:after="0"/>
              <w:rPr>
                <w:sz w:val="20"/>
                <w:szCs w:val="20"/>
                <w:color w:val="auto"/>
              </w:rPr>
            </w:pPr>
            <w:r>
              <w:rPr>
                <w:rFonts w:ascii="Arial" w:cs="Arial" w:eastAsia="Arial" w:hAnsi="Arial"/>
                <w:sz w:val="12"/>
                <w:szCs w:val="12"/>
                <w:color w:val="auto"/>
                <w:w w:val="82"/>
              </w:rPr>
              <w:t>(18.2)</w:t>
            </w:r>
          </w:p>
        </w:tc>
        <w:tc>
          <w:tcPr>
            <w:tcW w:w="940" w:type="dxa"/>
            <w:vAlign w:val="bottom"/>
            <w:gridSpan w:val="5"/>
            <w:shd w:val="clear" w:color="auto" w:fill="EEEEEE"/>
          </w:tcPr>
          <w:p>
            <w:pPr>
              <w:jc w:val="right"/>
              <w:ind w:right="180"/>
              <w:spacing w:after="0"/>
              <w:rPr>
                <w:sz w:val="20"/>
                <w:szCs w:val="20"/>
                <w:color w:val="auto"/>
              </w:rPr>
            </w:pPr>
            <w:r>
              <w:rPr>
                <w:rFonts w:ascii="Arial" w:cs="Arial" w:eastAsia="Arial" w:hAnsi="Arial"/>
                <w:sz w:val="12"/>
                <w:szCs w:val="12"/>
                <w:color w:val="auto"/>
              </w:rPr>
              <w:t>$(31.1)</w:t>
            </w:r>
          </w:p>
        </w:tc>
        <w:tc>
          <w:tcPr>
            <w:tcW w:w="920" w:type="dxa"/>
            <w:vAlign w:val="bottom"/>
            <w:gridSpan w:val="4"/>
            <w:shd w:val="clear" w:color="auto" w:fill="EEEEEE"/>
          </w:tcPr>
          <w:p>
            <w:pPr>
              <w:jc w:val="right"/>
              <w:ind w:right="20"/>
              <w:spacing w:after="0"/>
              <w:rPr>
                <w:sz w:val="20"/>
                <w:szCs w:val="20"/>
                <w:color w:val="auto"/>
              </w:rPr>
            </w:pPr>
            <w:r>
              <w:rPr>
                <w:rFonts w:ascii="Arial" w:cs="Arial" w:eastAsia="Arial" w:hAnsi="Arial"/>
                <w:sz w:val="12"/>
                <w:szCs w:val="12"/>
                <w:color w:val="auto"/>
              </w:rPr>
              <w:t>$ 584.2</w:t>
            </w:r>
          </w:p>
        </w:tc>
        <w:tc>
          <w:tcPr>
            <w:tcW w:w="3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6976745</wp:posOffset>
            </wp:positionH>
            <wp:positionV relativeFrom="paragraph">
              <wp:posOffset>-3912235</wp:posOffset>
            </wp:positionV>
            <wp:extent cx="12700"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6787515</wp:posOffset>
            </wp:positionH>
            <wp:positionV relativeFrom="paragraph">
              <wp:posOffset>-3912235</wp:posOffset>
            </wp:positionV>
            <wp:extent cx="1270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-2216150</wp:posOffset>
            </wp:positionV>
            <wp:extent cx="1270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6787515</wp:posOffset>
            </wp:positionH>
            <wp:positionV relativeFrom="paragraph">
              <wp:posOffset>-2216150</wp:posOffset>
            </wp:positionV>
            <wp:extent cx="1270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-353060</wp:posOffset>
            </wp:positionV>
            <wp:extent cx="1270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6787515</wp:posOffset>
            </wp:positionH>
            <wp:positionV relativeFrom="paragraph">
              <wp:posOffset>-353060</wp:posOffset>
            </wp:positionV>
            <wp:extent cx="1270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-34925</wp:posOffset>
            </wp:positionV>
            <wp:extent cx="1270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-34925</wp:posOffset>
            </wp:positionV>
            <wp:extent cx="1270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-34925</wp:posOffset>
            </wp:positionV>
            <wp:extent cx="10350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3505" cy="3556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-34925</wp:posOffset>
            </wp:positionV>
            <wp:extent cx="1270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-34925</wp:posOffset>
            </wp:positionV>
            <wp:extent cx="12700"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-34925</wp:posOffset>
            </wp:positionV>
            <wp:extent cx="12700"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-34925</wp:posOffset>
            </wp:positionV>
            <wp:extent cx="12700"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-34925</wp:posOffset>
            </wp:positionV>
            <wp:extent cx="12700"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-34925</wp:posOffset>
            </wp:positionV>
            <wp:extent cx="12700"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-34925</wp:posOffset>
            </wp:positionV>
            <wp:extent cx="12700"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-34925</wp:posOffset>
            </wp:positionV>
            <wp:extent cx="12700"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-34925</wp:posOffset>
            </wp:positionV>
            <wp:extent cx="12700"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-34925</wp:posOffset>
            </wp:positionV>
            <wp:extent cx="1270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6129020</wp:posOffset>
            </wp:positionH>
            <wp:positionV relativeFrom="paragraph">
              <wp:posOffset>-34925</wp:posOffset>
            </wp:positionV>
            <wp:extent cx="12700"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5939155</wp:posOffset>
            </wp:positionH>
            <wp:positionV relativeFrom="paragraph">
              <wp:posOffset>-34925</wp:posOffset>
            </wp:positionV>
            <wp:extent cx="1270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1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(In millions)</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w w:val="89"/>
              </w:rPr>
              <w:t>For the Years Ended December 31,</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ind w:left="420"/>
              <w:spacing w:after="0"/>
              <w:rPr>
                <w:sz w:val="20"/>
                <w:szCs w:val="20"/>
                <w:color w:val="auto"/>
              </w:rPr>
            </w:pPr>
            <w:r>
              <w:rPr>
                <w:rFonts w:ascii="Arial" w:cs="Arial" w:eastAsia="Arial" w:hAnsi="Arial"/>
                <w:sz w:val="12"/>
                <w:szCs w:val="12"/>
                <w:b w:val="1"/>
                <w:bCs w:val="1"/>
                <w:color w:val="auto"/>
              </w:rPr>
              <w:t>Restated</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2"/>
                <w:szCs w:val="12"/>
                <w:b w:val="1"/>
                <w:bCs w:val="1"/>
                <w:color w:val="auto"/>
              </w:rPr>
              <w:t>2003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jc w:val="right"/>
              <w:ind w:right="63"/>
              <w:spacing w:after="0"/>
              <w:rPr>
                <w:sz w:val="20"/>
                <w:szCs w:val="20"/>
                <w:color w:val="auto"/>
              </w:rPr>
            </w:pPr>
            <w:r>
              <w:rPr>
                <w:rFonts w:ascii="Arial" w:cs="Arial" w:eastAsia="Arial" w:hAnsi="Arial"/>
                <w:sz w:val="12"/>
                <w:szCs w:val="12"/>
                <w:b w:val="1"/>
                <w:bCs w:val="1"/>
                <w:color w:val="auto"/>
                <w:w w:val="89"/>
              </w:rPr>
              <w:t>2002</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84.4</w:t>
            </w:r>
          </w:p>
        </w:tc>
        <w:tc>
          <w:tcPr>
            <w:tcW w:w="380" w:type="dxa"/>
            <w:vAlign w:val="bottom"/>
          </w:tcPr>
          <w:p>
            <w:pPr>
              <w:spacing w:after="0"/>
              <w:rPr>
                <w:sz w:val="16"/>
                <w:szCs w:val="16"/>
                <w:color w:val="auto"/>
              </w:rPr>
            </w:pPr>
          </w:p>
        </w:tc>
        <w:tc>
          <w:tcPr>
            <w:tcW w:w="780" w:type="dxa"/>
            <w:vAlign w:val="bottom"/>
            <w:gridSpan w:val="2"/>
          </w:tcPr>
          <w:p>
            <w:pPr>
              <w:ind w:left="70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(205.0)</w:t>
            </w: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520"/>
              <w:spacing w:after="0"/>
              <w:rPr>
                <w:sz w:val="20"/>
                <w:szCs w:val="20"/>
                <w:color w:val="auto"/>
              </w:rPr>
            </w:pPr>
            <w:r>
              <w:rPr>
                <w:rFonts w:ascii="Arial" w:cs="Arial" w:eastAsia="Arial" w:hAnsi="Arial"/>
                <w:sz w:val="16"/>
                <w:szCs w:val="16"/>
                <w:color w:val="auto"/>
                <w:w w:val="95"/>
              </w:rPr>
              <w:t>Adjustments to reconcile net income (loss) to net cash used in operating activities: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Minority interest and equity in unconsolidated affiliates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Non-cash cumulative effect of accounting change</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247.9</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48.7</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56.7</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82.5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Non-cash restructuring charges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7.8</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Other (gains) losses and expenses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12.9</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(3.5)</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Changes in assets and liabilities, net of effects of acquisitions and divestitures —</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Accounts and notes receivable</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w w:val="82"/>
              </w:rPr>
              <w:t>(141.8)</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(41.4)</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87.8</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0.9</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52.1</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62.2</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Other current assets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(5.7)</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24.9</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22.6</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21.7</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10.9</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56.2</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Income taxes payable and receivable</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23.8</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780"/>
              <w:spacing w:after="0"/>
              <w:rPr>
                <w:sz w:val="20"/>
                <w:szCs w:val="20"/>
                <w:color w:val="auto"/>
              </w:rPr>
            </w:pPr>
            <w:r>
              <w:rPr>
                <w:rFonts w:ascii="Arial" w:cs="Arial" w:eastAsia="Arial" w:hAnsi="Arial"/>
                <w:sz w:val="16"/>
                <w:szCs w:val="16"/>
                <w:color w:val="auto"/>
              </w:rPr>
              <w:t>Long-term warranty, deferred income and other liabilities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15.0</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8.2</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2.4</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56.7</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168.0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212.0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Proceeds from the disposal of property, plant and equipment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(41.2)</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Proceeds from disposal of businesses and investments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55.8</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(0.7)</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(4.7)</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(22.4)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Repayments of short-term borrowings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Repayments of long-term debt</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(15.4)</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(57.0)</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Revolving long-term borrowings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(212.7)</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w w:val="86"/>
              </w:rPr>
              <w:t>(132.6)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143.8</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Sales of common stock</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12.5</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Repurchases of common stock</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(0.4)</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(0.3)</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Payments of deferred finance costs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Cash dividends paid</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(22.1)</w:t>
            </w: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rPr>
              <w:t>(21.7)</w:t>
            </w: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08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(31.9)</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w w:val="86"/>
              </w:rPr>
              <w:t>(160.1)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w w:val="86"/>
              </w:rPr>
              <w:t>(184.8)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INCREASE (DECREASE) IN CASH AND CASH EQUIVALENTS</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2.4</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40.1</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ind w:right="3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CASH AND CASH EQUIVALENTS, beginning of year</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74.4</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34.4</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40.6</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10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100" w:type="dxa"/>
            <w:vAlign w:val="bottom"/>
            <w:gridSpan w:val="2"/>
          </w:tcPr>
          <w:p>
            <w:pPr>
              <w:spacing w:after="0"/>
              <w:rPr>
                <w:sz w:val="20"/>
                <w:szCs w:val="20"/>
                <w:color w:val="auto"/>
              </w:rPr>
            </w:pPr>
            <w:r>
              <w:rPr>
                <w:rFonts w:ascii="Arial" w:cs="Arial" w:eastAsia="Arial" w:hAnsi="Arial"/>
                <w:sz w:val="16"/>
                <w:szCs w:val="16"/>
                <w:color w:val="auto"/>
              </w:rPr>
              <w:t>CASH AND CASH EQUIVALENTS, end of year</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76.1</w:t>
            </w:r>
          </w:p>
        </w:tc>
        <w:tc>
          <w:tcPr>
            <w:tcW w:w="380" w:type="dxa"/>
            <w:vAlign w:val="bottom"/>
          </w:tcPr>
          <w:p>
            <w:pPr>
              <w:spacing w:after="0"/>
              <w:rPr>
                <w:sz w:val="24"/>
                <w:szCs w:val="24"/>
                <w:color w:val="auto"/>
              </w:rPr>
            </w:pPr>
          </w:p>
        </w:tc>
        <w:tc>
          <w:tcPr>
            <w:tcW w:w="780" w:type="dxa"/>
            <w:vAlign w:val="bottom"/>
            <w:gridSpan w:val="2"/>
          </w:tcPr>
          <w:p>
            <w:pPr>
              <w:ind w:left="7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74.4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34.4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Supplementary disclosures of cash flow information:</w:t>
            </w: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tcPr>
          <w:p>
            <w:pPr>
              <w:ind w:left="260"/>
              <w:spacing w:after="0"/>
              <w:rPr>
                <w:sz w:val="20"/>
                <w:szCs w:val="20"/>
                <w:color w:val="auto"/>
              </w:rPr>
            </w:pPr>
            <w:r>
              <w:rPr>
                <w:rFonts w:ascii="Arial" w:cs="Arial" w:eastAsia="Arial" w:hAnsi="Arial"/>
                <w:sz w:val="16"/>
                <w:szCs w:val="16"/>
                <w:color w:val="auto"/>
              </w:rPr>
              <w:t>Cash paid during the year for:</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80" w:type="dxa"/>
            <w:vAlign w:val="bottom"/>
            <w:shd w:val="clear" w:color="auto" w:fill="EEEEEE"/>
          </w:tcPr>
          <w:p>
            <w:pPr>
              <w:ind w:left="520"/>
              <w:spacing w:after="0"/>
              <w:rPr>
                <w:sz w:val="20"/>
                <w:szCs w:val="20"/>
                <w:color w:val="auto"/>
              </w:rPr>
            </w:pPr>
            <w:r>
              <w:rPr>
                <w:rFonts w:ascii="Arial" w:cs="Arial" w:eastAsia="Arial" w:hAnsi="Arial"/>
                <w:sz w:val="16"/>
                <w:szCs w:val="16"/>
                <w:color w:val="auto"/>
              </w:rPr>
              <w:t>Interest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30.1</w:t>
            </w:r>
          </w:p>
        </w:tc>
        <w:tc>
          <w:tcPr>
            <w:tcW w:w="380" w:type="dxa"/>
            <w:vAlign w:val="bottom"/>
            <w:shd w:val="clear" w:color="auto" w:fill="EEEEEE"/>
          </w:tcPr>
          <w:p>
            <w:pPr>
              <w:spacing w:after="0"/>
              <w:rPr>
                <w:sz w:val="16"/>
                <w:szCs w:val="16"/>
                <w:color w:val="auto"/>
              </w:rPr>
            </w:pPr>
          </w:p>
        </w:tc>
        <w:tc>
          <w:tcPr>
            <w:tcW w:w="780" w:type="dxa"/>
            <w:vAlign w:val="bottom"/>
            <w:gridSpan w:val="2"/>
            <w:shd w:val="clear" w:color="auto" w:fill="EEEEEE"/>
          </w:tcPr>
          <w:p>
            <w:pPr>
              <w:ind w:left="70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32.1</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48.7</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Borders>
              <w:bottom w:val="single" w:sz="8" w:color="808080"/>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80" w:type="dxa"/>
            <w:vAlign w:val="bottom"/>
          </w:tcPr>
          <w:p>
            <w:pPr>
              <w:ind w:left="520"/>
              <w:spacing w:after="0"/>
              <w:rPr>
                <w:sz w:val="20"/>
                <w:szCs w:val="20"/>
                <w:color w:val="auto"/>
              </w:rPr>
            </w:pPr>
            <w:r>
              <w:rPr>
                <w:rFonts w:ascii="Arial" w:cs="Arial" w:eastAsia="Arial" w:hAnsi="Arial"/>
                <w:sz w:val="16"/>
                <w:szCs w:val="16"/>
                <w:color w:val="auto"/>
              </w:rPr>
              <w:t>Income taxes (net of refunds)</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9.1</w:t>
            </w:r>
          </w:p>
        </w:tc>
        <w:tc>
          <w:tcPr>
            <w:tcW w:w="380" w:type="dxa"/>
            <w:vAlign w:val="bottom"/>
          </w:tcPr>
          <w:p>
            <w:pPr>
              <w:spacing w:after="0"/>
              <w:rPr>
                <w:sz w:val="24"/>
                <w:szCs w:val="24"/>
                <w:color w:val="auto"/>
              </w:rPr>
            </w:pPr>
          </w:p>
        </w:tc>
        <w:tc>
          <w:tcPr>
            <w:tcW w:w="780" w:type="dxa"/>
            <w:vAlign w:val="bottom"/>
            <w:gridSpan w:val="2"/>
          </w:tcPr>
          <w:p>
            <w:pPr>
              <w:ind w:left="70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17.3</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-822325</wp:posOffset>
            </wp:positionV>
            <wp:extent cx="1270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-822325</wp:posOffset>
            </wp:positionV>
            <wp:extent cx="1270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5704840</wp:posOffset>
            </wp:positionH>
            <wp:positionV relativeFrom="paragraph">
              <wp:posOffset>-822325</wp:posOffset>
            </wp:positionV>
            <wp:extent cx="1270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-822325</wp:posOffset>
            </wp:positionV>
            <wp:extent cx="1270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-822325</wp:posOffset>
            </wp:positionV>
            <wp:extent cx="1270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-822325</wp:posOffset>
            </wp:positionV>
            <wp:extent cx="1270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-307340</wp:posOffset>
            </wp:positionV>
            <wp:extent cx="1270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-307340</wp:posOffset>
            </wp:positionV>
            <wp:extent cx="1270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5704840</wp:posOffset>
            </wp:positionH>
            <wp:positionV relativeFrom="paragraph">
              <wp:posOffset>-307340</wp:posOffset>
            </wp:positionV>
            <wp:extent cx="1270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-307340</wp:posOffset>
            </wp:positionV>
            <wp:extent cx="12700"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-307340</wp:posOffset>
            </wp:positionV>
            <wp:extent cx="12700"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-307340</wp:posOffset>
            </wp:positionV>
            <wp:extent cx="12700"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-34925</wp:posOffset>
            </wp:positionV>
            <wp:extent cx="1270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-34925</wp:posOffset>
            </wp:positionV>
            <wp:extent cx="1270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5704840</wp:posOffset>
            </wp:positionH>
            <wp:positionV relativeFrom="paragraph">
              <wp:posOffset>-34925</wp:posOffset>
            </wp:positionV>
            <wp:extent cx="1270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-34925</wp:posOffset>
            </wp:positionV>
            <wp:extent cx="1270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-34925</wp:posOffset>
            </wp:positionV>
            <wp:extent cx="12700"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-34925</wp:posOffset>
            </wp:positionV>
            <wp:extent cx="12700"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860"/>
          </w:cols>
          <w:pgMar w:left="240" w:top="386" w:right="799" w:bottom="1440" w:gutter="0" w:footer="0" w:header="0"/>
        </w:sectPr>
      </w:pP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6757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860"/>
          </w:cols>
          <w:pgMar w:left="240" w:top="386" w:right="799" w:bottom="1440" w:gutter="0" w:footer="0" w:header="0"/>
          <w:type w:val="continuous"/>
        </w:sectPr>
      </w:pPr>
    </w:p>
    <w:bookmarkStart w:id="42" w:name="page43"/>
    <w:bookmarkEnd w:id="42"/>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222" w:lineRule="exact"/>
        <w:rPr>
          <w:sz w:val="20"/>
          <w:szCs w:val="20"/>
          <w:color w:val="auto"/>
        </w:rPr>
      </w:pPr>
    </w:p>
    <w:p>
      <w:pPr>
        <w:ind w:left="465" w:hanging="465"/>
        <w:spacing w:after="0"/>
        <w:tabs>
          <w:tab w:leader="none" w:pos="46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Operations:</w:t>
      </w:r>
    </w:p>
    <w:p>
      <w:pPr>
        <w:spacing w:after="0" w:line="228" w:lineRule="exact"/>
        <w:rPr>
          <w:sz w:val="20"/>
          <w:szCs w:val="20"/>
          <w:color w:val="auto"/>
        </w:rPr>
      </w:pPr>
    </w:p>
    <w:p>
      <w:pPr>
        <w:ind w:left="5" w:firstLine="286"/>
        <w:spacing w:after="0" w:line="289" w:lineRule="auto"/>
        <w:rPr>
          <w:sz w:val="20"/>
          <w:szCs w:val="20"/>
          <w:color w:val="auto"/>
        </w:rPr>
      </w:pPr>
      <w:r>
        <w:rPr>
          <w:rFonts w:ascii="Arial" w:cs="Arial" w:eastAsia="Arial" w:hAnsi="Arial"/>
          <w:sz w:val="14"/>
          <w:szCs w:val="14"/>
          <w:color w:val="auto"/>
        </w:rPr>
        <w:t>Lennox International Inc., a Delaware corporation, and subsidiaries (the “Company” or “LII”), is a global designer, manufacturer and marketer of a broad range of products for the heating, ventilation, air conditioning and refrigeration (“HVACR”) markets. The Company participates in four reportable business segments of the HVACR industry. The first reportable segment is Residential Heating &amp; Cooling, in which LII manufactures and markets a full line of heating, air conditioning and Hearth Products for the residential replacement and new construction markets in the United States and Canada. The second reportable segment is Commercial Heating &amp; Cooling, in which LII manufactures and sells rooftop products and related equipment for commercial applications. Combined, the Residential Heating &amp; Cooling and Commercial Heating &amp; Cooling reportable business segments form LII’s heating and cooling business. The third reportable segment is Service Experts, which includes sales and installation of, and maintenance and repair services for HVAC equipment by LII-owned service centers in the United States and Canada. The fourth reportable segment is Refrigeration, which consists of the manufacture and sale of unit coolers, condensing units and other commercial refrigeration products. Prior to August 2002, the Company operated a Heat Transfer segment that manufactured and sold evaporator and condenser coils, copper tubing and related manufacturing equipment to original equipment manufacturers and other specialty purchasers on a global basis. In August 2002, the Company formed joint ventures with Outokumpu Oyj (“Outokumpu”) of Finland by selling to Outokumpu a 55% interest in the Company’s heat transfer businesses for approximately $55 million in cash and notes. The Company accounts for its remaining 45% interest using the equity method of accounting and includes such amounts in the “Corporate and other “ segment. See Note 4 for financial information regarding the Company’s reportable segments.</w:t>
      </w:r>
    </w:p>
    <w:p>
      <w:pPr>
        <w:spacing w:after="0" w:line="178" w:lineRule="exact"/>
        <w:rPr>
          <w:sz w:val="20"/>
          <w:szCs w:val="20"/>
          <w:color w:val="auto"/>
        </w:rPr>
      </w:pPr>
    </w:p>
    <w:p>
      <w:pPr>
        <w:ind w:left="5" w:right="320" w:firstLine="286"/>
        <w:spacing w:after="0" w:line="264" w:lineRule="auto"/>
        <w:rPr>
          <w:sz w:val="20"/>
          <w:szCs w:val="20"/>
          <w:color w:val="auto"/>
        </w:rPr>
      </w:pPr>
      <w:r>
        <w:rPr>
          <w:rFonts w:ascii="Arial" w:cs="Arial" w:eastAsia="Arial" w:hAnsi="Arial"/>
          <w:sz w:val="16"/>
          <w:szCs w:val="16"/>
          <w:color w:val="auto"/>
        </w:rPr>
        <w:t>The Company sells its products and services to numerous types of customers, including distributors, installing dealers, homeowners, national accounts and original equipment manufacturers.</w:t>
      </w:r>
    </w:p>
    <w:p>
      <w:pPr>
        <w:spacing w:after="0" w:line="376" w:lineRule="exact"/>
        <w:rPr>
          <w:sz w:val="20"/>
          <w:szCs w:val="20"/>
          <w:color w:val="auto"/>
        </w:rPr>
      </w:pPr>
    </w:p>
    <w:p>
      <w:pPr>
        <w:ind w:left="465" w:hanging="465"/>
        <w:spacing w:after="0"/>
        <w:tabs>
          <w:tab w:leader="none" w:pos="46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22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222" w:lineRule="exact"/>
        <w:rPr>
          <w:sz w:val="20"/>
          <w:szCs w:val="20"/>
          <w:color w:val="auto"/>
        </w:rPr>
      </w:pPr>
    </w:p>
    <w:p>
      <w:pPr>
        <w:ind w:left="5" w:right="20" w:firstLine="286"/>
        <w:spacing w:after="0" w:line="264" w:lineRule="auto"/>
        <w:rPr>
          <w:sz w:val="20"/>
          <w:szCs w:val="20"/>
          <w:color w:val="auto"/>
        </w:rPr>
      </w:pPr>
      <w:r>
        <w:rPr>
          <w:rFonts w:ascii="Arial" w:cs="Arial" w:eastAsia="Arial" w:hAnsi="Arial"/>
          <w:sz w:val="16"/>
          <w:szCs w:val="16"/>
          <w:color w:val="auto"/>
        </w:rPr>
        <w:t>The consolidated financial statements include the accounts of Lennox International Inc. and its majority-owned subsidiaries. All intercompany transactions and balances have been eliminated.</w:t>
      </w:r>
    </w:p>
    <w:p>
      <w:pPr>
        <w:spacing w:after="0" w:line="382"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2" w:lineRule="exact"/>
        <w:rPr>
          <w:sz w:val="20"/>
          <w:szCs w:val="20"/>
          <w:color w:val="auto"/>
        </w:rPr>
      </w:pPr>
    </w:p>
    <w:p>
      <w:pPr>
        <w:ind w:left="285"/>
        <w:spacing w:after="0"/>
        <w:rPr>
          <w:sz w:val="20"/>
          <w:szCs w:val="20"/>
          <w:color w:val="auto"/>
        </w:rPr>
      </w:pPr>
      <w:r>
        <w:rPr>
          <w:rFonts w:ascii="Arial" w:cs="Arial" w:eastAsia="Arial" w:hAnsi="Arial"/>
          <w:sz w:val="14"/>
          <w:szCs w:val="14"/>
          <w:color w:val="auto"/>
        </w:rPr>
        <w:t>The Company considers all highly liquid temporary investments with original maturity dates of three months or less to be cash equivalents. Cash and cash equivalents of</w:t>
      </w:r>
    </w:p>
    <w:p>
      <w:pPr>
        <w:spacing w:after="0" w:line="35" w:lineRule="exact"/>
        <w:rPr>
          <w:sz w:val="20"/>
          <w:szCs w:val="20"/>
          <w:color w:val="auto"/>
        </w:rPr>
      </w:pPr>
    </w:p>
    <w:p>
      <w:pPr>
        <w:ind w:left="5" w:right="80"/>
        <w:spacing w:after="0" w:line="306" w:lineRule="auto"/>
        <w:rPr>
          <w:sz w:val="20"/>
          <w:szCs w:val="20"/>
          <w:color w:val="auto"/>
        </w:rPr>
      </w:pPr>
      <w:r>
        <w:rPr>
          <w:rFonts w:ascii="Arial" w:cs="Arial" w:eastAsia="Arial" w:hAnsi="Arial"/>
          <w:sz w:val="14"/>
          <w:szCs w:val="14"/>
          <w:color w:val="auto"/>
        </w:rPr>
        <w:t>$76.1 million and $74.4 million at December 31, 2003 and 2002, respectively, consisted of cash and overnight repurchase agreements and of investment grade securities and are stated at cost, which approximates fair value. The Company earned interest income of $3.5 million, $2.0 million and $1.9 million for the years ended December 31, 2003, 2002 and 2001, respectively, which is included in interest expense, net in the accompanying Consolidated Statements of Operations.</w:t>
      </w:r>
    </w:p>
    <w:p>
      <w:pPr>
        <w:spacing w:after="0" w:line="166" w:lineRule="exact"/>
        <w:rPr>
          <w:sz w:val="20"/>
          <w:szCs w:val="20"/>
          <w:color w:val="auto"/>
        </w:rPr>
      </w:pPr>
    </w:p>
    <w:p>
      <w:pPr>
        <w:ind w:left="285"/>
        <w:spacing w:after="0"/>
        <w:rPr>
          <w:sz w:val="20"/>
          <w:szCs w:val="20"/>
          <w:color w:val="auto"/>
        </w:rPr>
      </w:pPr>
      <w:r>
        <w:rPr>
          <w:rFonts w:ascii="Arial" w:cs="Arial" w:eastAsia="Arial" w:hAnsi="Arial"/>
          <w:sz w:val="14"/>
          <w:szCs w:val="14"/>
          <w:color w:val="auto"/>
        </w:rPr>
        <w:t>As of December 31, 2003 and 2002, $28.6 million and $27.6 million, respectively, of cash and cash equivalents were restricted due to outstanding letters of credit.</w:t>
      </w:r>
    </w:p>
    <w:p>
      <w:pPr>
        <w:spacing w:after="0" w:line="200" w:lineRule="exact"/>
        <w:rPr>
          <w:sz w:val="20"/>
          <w:szCs w:val="20"/>
          <w:color w:val="auto"/>
        </w:rPr>
      </w:pPr>
    </w:p>
    <w:p>
      <w:pPr>
        <w:spacing w:after="0" w:line="235"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Accounts and Notes Receivable</w:t>
      </w:r>
    </w:p>
    <w:p>
      <w:pPr>
        <w:spacing w:after="0" w:line="222" w:lineRule="exact"/>
        <w:rPr>
          <w:sz w:val="20"/>
          <w:szCs w:val="20"/>
          <w:color w:val="auto"/>
        </w:rPr>
      </w:pPr>
    </w:p>
    <w:p>
      <w:pPr>
        <w:ind w:left="5" w:right="200" w:firstLine="286"/>
        <w:spacing w:after="0" w:line="256" w:lineRule="auto"/>
        <w:rPr>
          <w:sz w:val="20"/>
          <w:szCs w:val="20"/>
          <w:color w:val="auto"/>
        </w:rPr>
      </w:pPr>
      <w:r>
        <w:rPr>
          <w:rFonts w:ascii="Arial" w:cs="Arial" w:eastAsia="Arial" w:hAnsi="Arial"/>
          <w:sz w:val="16"/>
          <w:szCs w:val="16"/>
          <w:color w:val="auto"/>
        </w:rPr>
        <w:t>Accounts and notes receivable have been shown net of an allowance for doubtful accounts of $19.2 million and $23.8 million, and net of accounts receivable sold under an ongoing asset securitization arrangement of zero and $99.0 million as of December 31, 2003 and 2002, respectively. In addition, approximately $224.4 million and $106.2 million of accounts receivable as reported in the accompanying</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Consolidated Balance Sheets at December 31, 2003 and 2002, respectively, represent retained interests in securitized receivables that have restricted disposition rights per the terms of the asset securitization agreement and would not be available to satisfy obligations to creditors in the event of bankruptcy or receivership of LII or its subsidiaries. The Company has no significant credit risk concentration among its diversified customer base. The reduction in doubtful accounts from December 31, 2002 is primarily due to specific customer receivables of $4.1 million that were reserved at December 31, 2002 and were written off in 2003.</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Inventories</w:t>
      </w:r>
    </w:p>
    <w:p>
      <w:pPr>
        <w:spacing w:after="0" w:line="222" w:lineRule="exact"/>
        <w:rPr>
          <w:sz w:val="20"/>
          <w:szCs w:val="20"/>
          <w:color w:val="auto"/>
        </w:rPr>
      </w:pPr>
    </w:p>
    <w:p>
      <w:pPr>
        <w:jc w:val="both"/>
        <w:ind w:right="140" w:firstLine="286"/>
        <w:spacing w:after="0" w:line="256" w:lineRule="auto"/>
        <w:rPr>
          <w:sz w:val="20"/>
          <w:szCs w:val="20"/>
          <w:color w:val="auto"/>
        </w:rPr>
      </w:pPr>
      <w:r>
        <w:rPr>
          <w:rFonts w:ascii="Arial" w:cs="Arial" w:eastAsia="Arial" w:hAnsi="Arial"/>
          <w:sz w:val="16"/>
          <w:szCs w:val="16"/>
          <w:color w:val="auto"/>
        </w:rPr>
        <w:t>Inventory costs include material, labor, depreciation and plant overhead. Inventories of $93.3 million and $91.8 million in 2003 and 2002, respectively, are valued at the lower of cost or market using the last-in, first-out (LIFO) cost method. The remaining portion of the inventory is valued at the lower of cost or market with cost being determined either on the first-in, first-out (FIFO) basis or average cost.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22" w:lineRule="exact"/>
        <w:rPr>
          <w:sz w:val="20"/>
          <w:szCs w:val="20"/>
          <w:color w:val="auto"/>
        </w:rPr>
      </w:pPr>
    </w:p>
    <w:p>
      <w:pPr>
        <w:ind w:right="80" w:firstLine="286"/>
        <w:spacing w:after="0" w:line="336" w:lineRule="auto"/>
        <w:rPr>
          <w:sz w:val="20"/>
          <w:szCs w:val="20"/>
          <w:color w:val="auto"/>
        </w:rPr>
      </w:pPr>
      <w:r>
        <w:rPr>
          <w:rFonts w:ascii="Arial" w:cs="Arial" w:eastAsia="Arial" w:hAnsi="Arial"/>
          <w:sz w:val="14"/>
          <w:szCs w:val="14"/>
          <w:color w:val="auto"/>
        </w:rPr>
        <w:t>Property, plant and equipment are stated at cost, net of accumulated depreciation. Expenditures for renewals and betterments are capitalized and expenditures for maintenance and repairs are charged to expense as incurred. Depreciation is computed using the straight-line method over the following estimated useful lives:</w:t>
      </w:r>
    </w:p>
    <w:p>
      <w:pPr>
        <w:sectPr>
          <w:pgSz w:w="11900" w:h="16838" w:orient="portrait"/>
          <w:cols w:equalWidth="0" w:num="1">
            <w:col w:w="11420"/>
          </w:cols>
          <w:pgMar w:left="240" w:top="386" w:right="239" w:bottom="1440" w:gutter="0" w:footer="0" w:header="0"/>
        </w:sectPr>
      </w:pPr>
    </w:p>
    <w:p>
      <w:pPr>
        <w:spacing w:after="0" w:line="312"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Buildings and improvements</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Machinery and equipment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10 to 39 years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3 to 10 years</w:t>
      </w:r>
    </w:p>
    <w:p>
      <w:pPr>
        <w:spacing w:after="0" w:line="200" w:lineRule="exact"/>
        <w:rPr>
          <w:sz w:val="20"/>
          <w:szCs w:val="20"/>
          <w:color w:val="auto"/>
        </w:rPr>
      </w:pPr>
    </w:p>
    <w:p>
      <w:pPr>
        <w:sectPr>
          <w:pgSz w:w="11900" w:h="16838" w:orient="portrait"/>
          <w:cols w:equalWidth="0" w:num="2">
            <w:col w:w="7540" w:space="720"/>
            <w:col w:w="3160"/>
          </w:cols>
          <w:pgMar w:left="240" w:top="386" w:right="239" w:bottom="1440" w:gutter="0" w:footer="0" w:header="0"/>
          <w:type w:val="continuous"/>
        </w:sectPr>
      </w:pP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Investments in Affiliates</w:t>
      </w:r>
    </w:p>
    <w:p>
      <w:pPr>
        <w:spacing w:after="0" w:line="222" w:lineRule="exact"/>
        <w:rPr>
          <w:sz w:val="20"/>
          <w:szCs w:val="20"/>
          <w:color w:val="auto"/>
        </w:rPr>
      </w:pPr>
    </w:p>
    <w:p>
      <w:pPr>
        <w:ind w:right="200" w:firstLine="286"/>
        <w:spacing w:after="0" w:line="256" w:lineRule="auto"/>
        <w:rPr>
          <w:sz w:val="20"/>
          <w:szCs w:val="20"/>
          <w:color w:val="auto"/>
        </w:rPr>
      </w:pPr>
      <w:r>
        <w:rPr>
          <w:rFonts w:ascii="Arial" w:cs="Arial" w:eastAsia="Arial" w:hAnsi="Arial"/>
          <w:sz w:val="16"/>
          <w:szCs w:val="16"/>
          <w:color w:val="auto"/>
        </w:rPr>
        <w:t>Investments in affiliates in which the Company does not exercise control and has a 20% or more voting interest are accounted for using the equity method of accounting. The Company’s marketable equity security investment is classified as available-for-sale and is carried at fair value as a component of non-current assets with unrealized gains and losses, net of the related tax effect, reported as accumulated other comprehensive income.</w:t>
      </w:r>
    </w:p>
    <w:p>
      <w:pPr>
        <w:spacing w:after="0" w:line="198" w:lineRule="exact"/>
        <w:rPr>
          <w:sz w:val="20"/>
          <w:szCs w:val="20"/>
          <w:color w:val="auto"/>
        </w:rPr>
      </w:pPr>
    </w:p>
    <w:p>
      <w:pPr>
        <w:ind w:right="120" w:firstLine="286"/>
        <w:spacing w:after="0" w:line="291" w:lineRule="auto"/>
        <w:rPr>
          <w:sz w:val="20"/>
          <w:szCs w:val="20"/>
          <w:color w:val="auto"/>
        </w:rPr>
      </w:pPr>
      <w:r>
        <w:rPr>
          <w:rFonts w:ascii="Arial" w:cs="Arial" w:eastAsia="Arial" w:hAnsi="Arial"/>
          <w:sz w:val="14"/>
          <w:szCs w:val="14"/>
          <w:color w:val="auto"/>
        </w:rPr>
        <w:t>Investments in affiliated companies accounted for under the equity method consist of 45% common stock ownership interest in Outokumpu Heatcraft, a joint venture engaged in the manufacture and sale of heat transfer components, primarily coils; a 24.5% common stock ownership interest in Alliance, a joint venture engaged in the manufacture and sale of compressors; and a 50% common stock ownership in Frigus-Bohn, a Mexican joint venture that produces unit coolers and condensing units. The Company also owns an 18% interest in the marketable equity securities of Kulthorn Kirby Public Company Limited, a Thailand company engaged in the manufacture of compressors for refrigeration applications. On December 31, 2003, the Company had $12.2 million of net unrealized gain associated with its investment in Kulthorn Kirby Public Company Limited as part of accumulated other comprehensive income. The Company has recorded $4.8 million, $3.0 million and zero of equity in the earnings (losses) of these affiliates for the years ended December 31, 2003, 2002 and 2001, respectively, and has included these amounts in SG&amp;A in the accompanying Consolidated Statements of Operations. The carrying amount of investments in affiliates, including Kulthorn Kirby Public Company Limited, as of December 31, 2003 and 2002 is $64.4 million and $39.8 million, respectively.</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222" w:lineRule="exact"/>
        <w:rPr>
          <w:sz w:val="20"/>
          <w:szCs w:val="20"/>
          <w:color w:val="auto"/>
        </w:rPr>
      </w:pPr>
    </w:p>
    <w:p>
      <w:pPr>
        <w:ind w:right="380" w:firstLine="286"/>
        <w:spacing w:after="0" w:line="336" w:lineRule="auto"/>
        <w:rPr>
          <w:sz w:val="20"/>
          <w:szCs w:val="20"/>
          <w:color w:val="auto"/>
        </w:rPr>
      </w:pPr>
      <w:r>
        <w:rPr>
          <w:rFonts w:ascii="Arial" w:cs="Arial" w:eastAsia="Arial" w:hAnsi="Arial"/>
          <w:sz w:val="14"/>
          <w:szCs w:val="14"/>
          <w:color w:val="auto"/>
        </w:rPr>
        <w:t>Goodwill represents the excess of cost over fair value of assets of businesses acquired. The Company adopted the provisions of Statement of Financial Accounting Standards No. 142, “Goodwill and Other Intangible Assets,” (“SFAS No. 142”) as of January 1, 2002. Goodwill and intangible assets acquired in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purchase business combination and determined to have an indefinite useful life are not amortized, but instead tested for impairment at least annually in accordance with the provisions of SFAS No. 142. SFAS No. 142 also requires that intangible assets with estimable useful lives be amortized over their respective estimated useful lives to their estimated residual values, and reviewed for impairment in accordance with Statement of Financial Accounting Standards No. 144, “Accounting for Impairment or Disposal of Long-Lived Assets.”</w:t>
      </w:r>
    </w:p>
    <w:p>
      <w:pPr>
        <w:spacing w:after="0" w:line="163" w:lineRule="exact"/>
        <w:rPr>
          <w:sz w:val="20"/>
          <w:szCs w:val="20"/>
          <w:color w:val="auto"/>
        </w:rPr>
      </w:pPr>
    </w:p>
    <w:p>
      <w:pPr>
        <w:ind w:right="20" w:firstLine="286"/>
        <w:spacing w:after="0" w:line="289" w:lineRule="auto"/>
        <w:rPr>
          <w:sz w:val="20"/>
          <w:szCs w:val="20"/>
          <w:color w:val="auto"/>
        </w:rPr>
      </w:pPr>
      <w:r>
        <w:rPr>
          <w:rFonts w:ascii="Arial" w:cs="Arial" w:eastAsia="Arial" w:hAnsi="Arial"/>
          <w:sz w:val="14"/>
          <w:szCs w:val="14"/>
          <w:color w:val="auto"/>
        </w:rPr>
        <w:t>In connection with SFAS No. 142’s transitional goodwill impairment evaluation, the Statement required the Company to perform an assessment of whether there was an indication that goodwill is impaired as of the date of adoption. To accomplish this, the Company was required to identify its reporting units and determine the carrying value of each reporting unit by assigning the assets and liabilities, including the existing goodwill and intangible assets, to those reporting units as of January 1, 2002. To the extent the carrying amount of a reporting unit exceeded the fair value of the reporting unit, the Company would be required to perform the second step of the transitional impairment test, as this is an indication that the reporting unit goodwill may be impaired. The second step was required for certain reporting units within the Residential Heating &amp; Cooling, Service Experts and Heat Transfer reporting segments where the results of various business operations acquired during 1998 to 2000 were lower than expected. In the second step, the Company compared the implied fair value of the reporting units’ goodwill with the carrying amount of the reporting units’ goodwill, both of which were measured as of the date of adoption. The implied fair value of goodwill was determined by allocating the fair value of the reporting unit to all of the assets (recognized and unrecognized) and liabilities of the reporting unit in a manner similar to a purchase price allocation, in accordance with Statement of Financial Accounting Standards No. 141, “Business Combinations.” The residual fair value after this allocation was the implied fair value of the reporting units’ goodwill and was less than the carrying amount of these reporting units’ goodwill by $283.7 million. Accordingly, the Company recorded a $283.7 million ($247.9 million, net of tax) impairment charge upon adoption. During the first quarter of 2003, the Company performed its annual goodwill impairment test and determined that no goodwill impairment charge was necessary.</w:t>
      </w:r>
    </w:p>
    <w:p>
      <w:pPr>
        <w:spacing w:after="0" w:line="178" w:lineRule="exact"/>
        <w:rPr>
          <w:sz w:val="20"/>
          <w:szCs w:val="20"/>
          <w:color w:val="auto"/>
        </w:rPr>
      </w:pPr>
    </w:p>
    <w:p>
      <w:pPr>
        <w:ind w:right="80" w:firstLine="286"/>
        <w:spacing w:after="0" w:line="310" w:lineRule="auto"/>
        <w:rPr>
          <w:sz w:val="20"/>
          <w:szCs w:val="20"/>
          <w:color w:val="auto"/>
        </w:rPr>
      </w:pPr>
      <w:r>
        <w:rPr>
          <w:rFonts w:ascii="Arial" w:cs="Arial" w:eastAsia="Arial" w:hAnsi="Arial"/>
          <w:sz w:val="14"/>
          <w:szCs w:val="14"/>
          <w:color w:val="auto"/>
        </w:rPr>
        <w:t>The Company estimates reporting unit fair values using standard business valuation techniques such as discounted cash flows and reference to comparable business transactions. The discounted cash flows fair value estimates were based on management’s projected future cash flows and the estimated weighted average cost of capital. The weighted average cost of capital was based on the risk-free interest rate and other factors such as equity risk premiums and the ratio of total debt and equity capital.</w:t>
      </w:r>
    </w:p>
    <w:p>
      <w:pPr>
        <w:spacing w:after="0" w:line="163" w:lineRule="exact"/>
        <w:rPr>
          <w:sz w:val="20"/>
          <w:szCs w:val="20"/>
          <w:color w:val="auto"/>
        </w:rPr>
      </w:pPr>
    </w:p>
    <w:p>
      <w:pPr>
        <w:ind w:right="80" w:firstLine="286"/>
        <w:spacing w:after="0" w:line="264" w:lineRule="auto"/>
        <w:rPr>
          <w:sz w:val="20"/>
          <w:szCs w:val="20"/>
          <w:color w:val="auto"/>
        </w:rPr>
      </w:pPr>
      <w:r>
        <w:rPr>
          <w:rFonts w:ascii="Arial" w:cs="Arial" w:eastAsia="Arial" w:hAnsi="Arial"/>
          <w:sz w:val="16"/>
          <w:szCs w:val="16"/>
          <w:color w:val="auto"/>
        </w:rPr>
        <w:t>The following reflects the Company’s income (loss) before the cumulative effect of accounting change and income (loss) adjusted to exclude goodwill amortization for all periods presented (in millions,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5"/>
          </w:tcPr>
          <w:p>
            <w:pPr>
              <w:ind w:left="80"/>
              <w:spacing w:after="0"/>
              <w:rPr>
                <w:sz w:val="20"/>
                <w:szCs w:val="20"/>
                <w:color w:val="auto"/>
              </w:rPr>
            </w:pPr>
            <w:r>
              <w:rPr>
                <w:rFonts w:ascii="Arial" w:cs="Arial" w:eastAsia="Arial" w:hAnsi="Arial"/>
                <w:sz w:val="12"/>
                <w:szCs w:val="12"/>
                <w:b w:val="1"/>
                <w:bCs w:val="1"/>
                <w:color w:val="auto"/>
                <w:w w:val="89"/>
              </w:rPr>
              <w:t>For the Years Ended December 31,</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4"/>
          </w:tcPr>
          <w:p>
            <w:pPr>
              <w:ind w:left="420"/>
              <w:spacing w:after="0"/>
              <w:rPr>
                <w:sz w:val="20"/>
                <w:szCs w:val="20"/>
                <w:color w:val="auto"/>
              </w:rPr>
            </w:pPr>
            <w:r>
              <w:rPr>
                <w:rFonts w:ascii="Arial" w:cs="Arial" w:eastAsia="Arial" w:hAnsi="Arial"/>
                <w:sz w:val="12"/>
                <w:szCs w:val="12"/>
                <w:b w:val="1"/>
                <w:bCs w:val="1"/>
                <w:color w:val="auto"/>
              </w:rPr>
              <w:t>Restated</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2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2003</w:t>
            </w:r>
          </w:p>
        </w:tc>
        <w:tc>
          <w:tcPr>
            <w:tcW w:w="30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2001</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6"/>
                <w:szCs w:val="16"/>
                <w:color w:val="auto"/>
              </w:rPr>
              <w:t>Income (loss) before cumulative effect of accounting change</w:t>
            </w:r>
          </w:p>
        </w:tc>
        <w:tc>
          <w:tcPr>
            <w:tcW w:w="22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300" w:type="dxa"/>
            <w:vAlign w:val="bottom"/>
            <w:shd w:val="clear" w:color="auto" w:fill="EEEEEE"/>
          </w:tcPr>
          <w:p>
            <w:pPr>
              <w:spacing w:after="0"/>
              <w:rPr>
                <w:sz w:val="16"/>
                <w:szCs w:val="16"/>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$42.9</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$(42.4)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60" w:type="dxa"/>
            <w:vAlign w:val="bottom"/>
          </w:tcPr>
          <w:p>
            <w:pPr>
              <w:ind w:left="280"/>
              <w:spacing w:after="0"/>
              <w:rPr>
                <w:sz w:val="20"/>
                <w:szCs w:val="20"/>
                <w:color w:val="auto"/>
              </w:rPr>
            </w:pPr>
            <w:r>
              <w:rPr>
                <w:rFonts w:ascii="Arial" w:cs="Arial" w:eastAsia="Arial" w:hAnsi="Arial"/>
                <w:sz w:val="16"/>
                <w:szCs w:val="16"/>
                <w:color w:val="auto"/>
              </w:rPr>
              <w:t>Add back: goodwill amortization, net of income tax</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3"/>
          </w:tcPr>
          <w:p>
            <w:pPr>
              <w:jc w:val="right"/>
              <w:ind w:right="8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60" w:type="dxa"/>
            <w:vAlign w:val="bottom"/>
            <w:shd w:val="clear" w:color="auto" w:fill="EEEEEE"/>
          </w:tcPr>
          <w:p>
            <w:pPr>
              <w:ind w:left="280"/>
              <w:spacing w:after="0"/>
              <w:rPr>
                <w:sz w:val="20"/>
                <w:szCs w:val="20"/>
                <w:color w:val="auto"/>
              </w:rPr>
            </w:pPr>
            <w:r>
              <w:rPr>
                <w:rFonts w:ascii="Arial" w:cs="Arial" w:eastAsia="Arial" w:hAnsi="Arial"/>
                <w:sz w:val="16"/>
                <w:szCs w:val="16"/>
                <w:color w:val="auto"/>
                <w:w w:val="92"/>
              </w:rPr>
              <w:t>Adjusted income (loss) before cumulative effect of accounting change</w:t>
            </w:r>
          </w:p>
        </w:tc>
        <w:tc>
          <w:tcPr>
            <w:tcW w:w="22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300" w:type="dxa"/>
            <w:vAlign w:val="bottom"/>
            <w:shd w:val="clear" w:color="auto" w:fill="EEEEEE"/>
          </w:tcPr>
          <w:p>
            <w:pPr>
              <w:spacing w:after="0"/>
              <w:rPr>
                <w:sz w:val="16"/>
                <w:szCs w:val="16"/>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$42.9</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$(25.9)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420" w:type="dxa"/>
            <w:vAlign w:val="bottom"/>
            <w:gridSpan w:val="2"/>
            <w:vMerge w:val="restart"/>
          </w:tcPr>
          <w:p>
            <w:pPr>
              <w:ind w:left="560"/>
              <w:spacing w:after="0"/>
              <w:rPr>
                <w:sz w:val="20"/>
                <w:szCs w:val="20"/>
                <w:color w:val="auto"/>
              </w:rPr>
            </w:pPr>
            <w:r>
              <w:rPr>
                <w:rFonts w:ascii="Arial" w:cs="Arial" w:eastAsia="Arial" w:hAnsi="Arial"/>
                <w:sz w:val="16"/>
                <w:szCs w:val="16"/>
                <w:color w:val="auto"/>
              </w:rPr>
              <w:t>Basic earnings (loss) per share:</w:t>
            </w: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542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486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Income (loss) before cumulative effect of accounting change</w:t>
            </w:r>
          </w:p>
        </w:tc>
        <w:tc>
          <w:tcPr>
            <w:tcW w:w="22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$1.45</w:t>
            </w:r>
          </w:p>
        </w:tc>
        <w:tc>
          <w:tcPr>
            <w:tcW w:w="300" w:type="dxa"/>
            <w:vAlign w:val="bottom"/>
            <w:shd w:val="clear" w:color="auto" w:fill="EEEEEE"/>
          </w:tcPr>
          <w:p>
            <w:pPr>
              <w:spacing w:after="0"/>
              <w:rPr>
                <w:sz w:val="16"/>
                <w:szCs w:val="16"/>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$0.75</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$(0.75)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60" w:type="dxa"/>
            <w:vAlign w:val="bottom"/>
          </w:tcPr>
          <w:p>
            <w:pPr>
              <w:ind w:left="280"/>
              <w:spacing w:after="0"/>
              <w:rPr>
                <w:sz w:val="20"/>
                <w:szCs w:val="20"/>
                <w:color w:val="auto"/>
              </w:rPr>
            </w:pPr>
            <w:r>
              <w:rPr>
                <w:rFonts w:ascii="Arial" w:cs="Arial" w:eastAsia="Arial" w:hAnsi="Arial"/>
                <w:sz w:val="16"/>
                <w:szCs w:val="16"/>
                <w:color w:val="auto"/>
              </w:rPr>
              <w:t>Add back: goodwill amortization, net of income tax</w:t>
            </w: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3"/>
          </w:tcPr>
          <w:p>
            <w:pPr>
              <w:jc w:val="right"/>
              <w:ind w:right="8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60" w:type="dxa"/>
            <w:vAlign w:val="bottom"/>
            <w:shd w:val="clear" w:color="auto" w:fill="EEEEEE"/>
          </w:tcPr>
          <w:p>
            <w:pPr>
              <w:ind w:left="280"/>
              <w:spacing w:after="0"/>
              <w:rPr>
                <w:sz w:val="20"/>
                <w:szCs w:val="20"/>
                <w:color w:val="auto"/>
              </w:rPr>
            </w:pPr>
            <w:r>
              <w:rPr>
                <w:rFonts w:ascii="Arial" w:cs="Arial" w:eastAsia="Arial" w:hAnsi="Arial"/>
                <w:sz w:val="16"/>
                <w:szCs w:val="16"/>
                <w:color w:val="auto"/>
                <w:w w:val="92"/>
              </w:rPr>
              <w:t>Adjusted income (loss) before cumulative effect of accounting change</w:t>
            </w:r>
          </w:p>
        </w:tc>
        <w:tc>
          <w:tcPr>
            <w:tcW w:w="22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$1.45</w:t>
            </w:r>
          </w:p>
        </w:tc>
        <w:tc>
          <w:tcPr>
            <w:tcW w:w="300" w:type="dxa"/>
            <w:vAlign w:val="bottom"/>
            <w:shd w:val="clear" w:color="auto" w:fill="EEEEEE"/>
          </w:tcPr>
          <w:p>
            <w:pPr>
              <w:spacing w:after="0"/>
              <w:rPr>
                <w:sz w:val="16"/>
                <w:szCs w:val="16"/>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$0.75</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vMerge w:val="restart"/>
          </w:tcPr>
          <w:p>
            <w:pPr>
              <w:jc w:val="right"/>
              <w:ind w:right="1125"/>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486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-1238885</wp:posOffset>
            </wp:positionV>
            <wp:extent cx="1270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-1238885</wp:posOffset>
            </wp:positionV>
            <wp:extent cx="12700"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-1238885</wp:posOffset>
            </wp:positionV>
            <wp:extent cx="12700"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-1238885</wp:posOffset>
            </wp:positionV>
            <wp:extent cx="12700"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-1238885</wp:posOffset>
            </wp:positionV>
            <wp:extent cx="12700"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-1238885</wp:posOffset>
            </wp:positionV>
            <wp:extent cx="12700"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-473710</wp:posOffset>
            </wp:positionV>
            <wp:extent cx="1270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-473710</wp:posOffset>
            </wp:positionV>
            <wp:extent cx="12700"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-473710</wp:posOffset>
            </wp:positionV>
            <wp:extent cx="1270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-473710</wp:posOffset>
            </wp:positionV>
            <wp:extent cx="12700"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-473710</wp:posOffset>
            </wp:positionV>
            <wp:extent cx="12700"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6492240</wp:posOffset>
            </wp:positionH>
            <wp:positionV relativeFrom="paragraph">
              <wp:posOffset>-473710</wp:posOffset>
            </wp:positionV>
            <wp:extent cx="1270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6"/>
          </w:tcPr>
          <w:p>
            <w:pPr>
              <w:ind w:left="140"/>
              <w:spacing w:after="0"/>
              <w:rPr>
                <w:sz w:val="20"/>
                <w:szCs w:val="20"/>
                <w:color w:val="auto"/>
              </w:rPr>
            </w:pPr>
            <w:r>
              <w:rPr>
                <w:rFonts w:ascii="Arial" w:cs="Arial" w:eastAsia="Arial" w:hAnsi="Arial"/>
                <w:sz w:val="12"/>
                <w:szCs w:val="12"/>
                <w:b w:val="1"/>
                <w:bCs w:val="1"/>
                <w:color w:val="auto"/>
                <w:w w:val="91"/>
              </w:rPr>
              <w:t>For the Years Ended December 31,</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5"/>
          </w:tcPr>
          <w:p>
            <w:pPr>
              <w:ind w:left="480"/>
              <w:spacing w:after="0"/>
              <w:rPr>
                <w:sz w:val="20"/>
                <w:szCs w:val="20"/>
                <w:color w:val="auto"/>
              </w:rPr>
            </w:pPr>
            <w:r>
              <w:rPr>
                <w:rFonts w:ascii="Arial" w:cs="Arial" w:eastAsia="Arial" w:hAnsi="Arial"/>
                <w:sz w:val="12"/>
                <w:szCs w:val="12"/>
                <w:b w:val="1"/>
                <w:bCs w:val="1"/>
                <w:color w:val="auto"/>
              </w:rPr>
              <w:t>Restated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2"/>
                <w:szCs w:val="12"/>
                <w:b w:val="1"/>
                <w:bCs w:val="1"/>
                <w:color w:val="auto"/>
              </w:rPr>
              <w:t>2002</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Diluted earnings (loss) per share:</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ind w:left="260"/>
              <w:spacing w:after="0"/>
              <w:rPr>
                <w:sz w:val="20"/>
                <w:szCs w:val="20"/>
                <w:color w:val="auto"/>
              </w:rPr>
            </w:pPr>
            <w:r>
              <w:rPr>
                <w:rFonts w:ascii="Arial" w:cs="Arial" w:eastAsia="Arial" w:hAnsi="Arial"/>
                <w:sz w:val="16"/>
                <w:szCs w:val="16"/>
                <w:color w:val="auto"/>
              </w:rPr>
              <w:t>Income (loss) before cumulative effect of accounting change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0.73</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Add back: goodwill amortization, net of income tax</w:t>
            </w:r>
          </w:p>
        </w:tc>
        <w:tc>
          <w:tcPr>
            <w:tcW w:w="3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180" w:type="dxa"/>
            <w:vAlign w:val="bottom"/>
            <w:gridSpan w:val="3"/>
            <w:shd w:val="clear" w:color="auto" w:fill="EEEEEE"/>
          </w:tcPr>
          <w:p>
            <w:pPr>
              <w:jc w:val="right"/>
              <w:ind w:right="7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0.29</w:t>
            </w: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340" w:type="dxa"/>
            <w:vAlign w:val="bottom"/>
          </w:tcPr>
          <w:p>
            <w:pPr>
              <w:ind w:left="260"/>
              <w:spacing w:after="0"/>
              <w:rPr>
                <w:sz w:val="20"/>
                <w:szCs w:val="20"/>
                <w:color w:val="auto"/>
              </w:rPr>
            </w:pPr>
            <w:r>
              <w:rPr>
                <w:rFonts w:ascii="Arial" w:cs="Arial" w:eastAsia="Arial" w:hAnsi="Arial"/>
                <w:sz w:val="16"/>
                <w:szCs w:val="16"/>
                <w:color w:val="auto"/>
              </w:rPr>
              <w:t>Adjusted income (loss) before cumulative effect of accounting change</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0.73</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Reported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w w:val="86"/>
              </w:rPr>
              <w:t>(205.0)</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260"/>
              <w:spacing w:after="0"/>
              <w:rPr>
                <w:sz w:val="20"/>
                <w:szCs w:val="20"/>
                <w:color w:val="auto"/>
              </w:rPr>
            </w:pPr>
            <w:r>
              <w:rPr>
                <w:rFonts w:ascii="Arial" w:cs="Arial" w:eastAsia="Arial" w:hAnsi="Arial"/>
                <w:sz w:val="16"/>
                <w:szCs w:val="16"/>
                <w:color w:val="auto"/>
              </w:rPr>
              <w:t>Add back: goodwill amortization, net of income tax</w:t>
            </w:r>
          </w:p>
        </w:tc>
        <w:tc>
          <w:tcPr>
            <w:tcW w:w="3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Adjusted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w w:val="86"/>
              </w:rPr>
              <w:t>(205.0)</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27"/>
        </w:trPr>
        <w:tc>
          <w:tcPr>
            <w:tcW w:w="6360" w:type="dxa"/>
            <w:vAlign w:val="bottom"/>
            <w:gridSpan w:val="2"/>
            <w:vMerge w:val="restart"/>
          </w:tcPr>
          <w:p>
            <w:pPr>
              <w:spacing w:after="0"/>
              <w:rPr>
                <w:sz w:val="20"/>
                <w:szCs w:val="20"/>
                <w:color w:val="auto"/>
              </w:rPr>
            </w:pPr>
            <w:r>
              <w:rPr>
                <w:rFonts w:ascii="Arial" w:cs="Arial" w:eastAsia="Arial" w:hAnsi="Arial"/>
                <w:sz w:val="16"/>
                <w:szCs w:val="16"/>
                <w:color w:val="auto"/>
              </w:rPr>
              <w:t>Basic earnings (loss) per share:</w:t>
            </w: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6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Reported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$1.45</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(3.58)</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260"/>
              <w:spacing w:after="0"/>
              <w:rPr>
                <w:sz w:val="20"/>
                <w:szCs w:val="20"/>
                <w:color w:val="auto"/>
              </w:rPr>
            </w:pPr>
            <w:r>
              <w:rPr>
                <w:rFonts w:ascii="Arial" w:cs="Arial" w:eastAsia="Arial" w:hAnsi="Arial"/>
                <w:sz w:val="16"/>
                <w:szCs w:val="16"/>
                <w:color w:val="auto"/>
              </w:rPr>
              <w:t>Add back: goodwill amortization</w:t>
            </w:r>
          </w:p>
        </w:tc>
        <w:tc>
          <w:tcPr>
            <w:tcW w:w="3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Adjusted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$1.45</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(3.58)</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27"/>
        </w:trPr>
        <w:tc>
          <w:tcPr>
            <w:tcW w:w="6360" w:type="dxa"/>
            <w:vAlign w:val="bottom"/>
            <w:gridSpan w:val="2"/>
            <w:vMerge w:val="restart"/>
          </w:tcPr>
          <w:p>
            <w:pPr>
              <w:spacing w:after="0"/>
              <w:rPr>
                <w:sz w:val="20"/>
                <w:szCs w:val="20"/>
                <w:color w:val="auto"/>
              </w:rPr>
            </w:pPr>
            <w:r>
              <w:rPr>
                <w:rFonts w:ascii="Arial" w:cs="Arial" w:eastAsia="Arial" w:hAnsi="Arial"/>
                <w:sz w:val="16"/>
                <w:szCs w:val="16"/>
                <w:color w:val="auto"/>
              </w:rPr>
              <w:t>Diluted earnings (loss) per share:</w:t>
            </w: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63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Reported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(3.48)</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260"/>
              <w:spacing w:after="0"/>
              <w:rPr>
                <w:sz w:val="20"/>
                <w:szCs w:val="20"/>
                <w:color w:val="auto"/>
              </w:rPr>
            </w:pPr>
            <w:r>
              <w:rPr>
                <w:rFonts w:ascii="Arial" w:cs="Arial" w:eastAsia="Arial" w:hAnsi="Arial"/>
                <w:sz w:val="16"/>
                <w:szCs w:val="16"/>
                <w:color w:val="auto"/>
              </w:rPr>
              <w:t>Add back: goodwill amortization</w:t>
            </w:r>
          </w:p>
        </w:tc>
        <w:tc>
          <w:tcPr>
            <w:tcW w:w="3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Adjusted net income (loss)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(3.48)</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-2208530</wp:posOffset>
            </wp:positionV>
            <wp:extent cx="12700"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-2208530</wp:posOffset>
            </wp:positionV>
            <wp:extent cx="1270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-2208530</wp:posOffset>
            </wp:positionV>
            <wp:extent cx="1270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-2208530</wp:posOffset>
            </wp:positionV>
            <wp:extent cx="12700"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-2208530</wp:posOffset>
            </wp:positionV>
            <wp:extent cx="1270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-2208530</wp:posOffset>
            </wp:positionV>
            <wp:extent cx="12700"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-1564640</wp:posOffset>
            </wp:positionV>
            <wp:extent cx="12700"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-1564640</wp:posOffset>
            </wp:positionV>
            <wp:extent cx="12700"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-1564640</wp:posOffset>
            </wp:positionV>
            <wp:extent cx="12700"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-1564640</wp:posOffset>
            </wp:positionV>
            <wp:extent cx="12700"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-1564640</wp:posOffset>
            </wp:positionV>
            <wp:extent cx="1270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-1564640</wp:posOffset>
            </wp:positionV>
            <wp:extent cx="1270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-799465</wp:posOffset>
            </wp:positionV>
            <wp:extent cx="12700"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-799465</wp:posOffset>
            </wp:positionV>
            <wp:extent cx="12700"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-799465</wp:posOffset>
            </wp:positionV>
            <wp:extent cx="12700"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-799465</wp:posOffset>
            </wp:positionV>
            <wp:extent cx="12700"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-799465</wp:posOffset>
            </wp:positionV>
            <wp:extent cx="1270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-799465</wp:posOffset>
            </wp:positionV>
            <wp:extent cx="1270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-34925</wp:posOffset>
            </wp:positionV>
            <wp:extent cx="12700"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-34925</wp:posOffset>
            </wp:positionV>
            <wp:extent cx="1270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-34925</wp:posOffset>
            </wp:positionV>
            <wp:extent cx="1270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-34925</wp:posOffset>
            </wp:positionV>
            <wp:extent cx="12700"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-34925</wp:posOffset>
            </wp:positionV>
            <wp:extent cx="12700"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-34925</wp:posOffset>
            </wp:positionV>
            <wp:extent cx="12700"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firstLine="286"/>
        <w:spacing w:after="0" w:line="293" w:lineRule="auto"/>
        <w:rPr>
          <w:sz w:val="20"/>
          <w:szCs w:val="20"/>
          <w:color w:val="auto"/>
        </w:rPr>
      </w:pPr>
      <w:r>
        <w:rPr>
          <w:rFonts w:ascii="Arial" w:cs="Arial" w:eastAsia="Arial" w:hAnsi="Arial"/>
          <w:sz w:val="14"/>
          <w:szCs w:val="14"/>
          <w:color w:val="auto"/>
        </w:rPr>
        <w:t>Prior to the adoption of SFAS No. 142, goodwill was being amortized on a straight-line basis over periods generally ranging from thirty to forty years and as of December 31, 2001, the accumulated amortization was $83.3 million. In addition, the Company periodically reviewed long-lived assets and identifiable intangibles for impairment as events or changes in circumstances indicated that the carrying amount of such assets might not be recoverable. In order to assess recoverability, the Company compared the estimated expected future cash flows (undiscounted and without interest charges) identified with each long-lived asset or related asset grouping to the carrying amount of such assets. For purposes of such comparisons, portions of goodwill were attributed to related long-lived assets and identifiable intangible assets based upon relative fair values of such assets at acquisition. If the expected future cash flows did not exceed the carrying value of the asset or assets being reviewed, an impairment loss was recognized based on the excess of the carrying amount of the impaired assets over their fair value. As a result of these periodic reviews, certain assets, including goodwill, of an Australian subsidiary were adjusted in 2001.</w:t>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Shipping and Handling</w:t>
      </w:r>
    </w:p>
    <w:p>
      <w:pPr>
        <w:spacing w:after="0" w:line="222" w:lineRule="exact"/>
        <w:rPr>
          <w:sz w:val="20"/>
          <w:szCs w:val="20"/>
          <w:color w:val="auto"/>
        </w:rPr>
      </w:pPr>
    </w:p>
    <w:p>
      <w:pPr>
        <w:ind w:right="300" w:firstLine="286"/>
        <w:spacing w:after="0" w:line="264" w:lineRule="auto"/>
        <w:rPr>
          <w:sz w:val="20"/>
          <w:szCs w:val="20"/>
          <w:color w:val="auto"/>
        </w:rPr>
      </w:pPr>
      <w:r>
        <w:rPr>
          <w:rFonts w:ascii="Arial" w:cs="Arial" w:eastAsia="Arial" w:hAnsi="Arial"/>
          <w:sz w:val="16"/>
          <w:szCs w:val="16"/>
          <w:color w:val="auto"/>
        </w:rPr>
        <w:t>Shipping and handling costs are included as part of Selling, General and Administrative Expense in the accompanying Consolidated Statements of Operations in the following amounts (in millions):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63500</wp:posOffset>
            </wp:positionV>
            <wp:extent cx="290068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00680" cy="7620"/>
                    </a:xfrm>
                    <a:prstGeom prst="rect">
                      <a:avLst/>
                    </a:prstGeom>
                    <a:noFill/>
                  </pic:spPr>
                </pic:pic>
              </a:graphicData>
            </a:graphic>
          </wp:anchor>
        </w:drawing>
      </w:r>
    </w:p>
    <w:p>
      <w:pPr>
        <w:spacing w:after="0" w:line="169" w:lineRule="exact"/>
        <w:rPr>
          <w:sz w:val="20"/>
          <w:szCs w:val="20"/>
          <w:color w:val="auto"/>
        </w:rPr>
      </w:pPr>
    </w:p>
    <w:tbl>
      <w:tblPr>
        <w:tblLayout w:type="fixed"/>
        <w:tblInd w:w="344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Arial" w:cs="Arial" w:eastAsia="Arial" w:hAnsi="Arial"/>
                <w:sz w:val="12"/>
                <w:szCs w:val="12"/>
                <w:b w:val="1"/>
                <w:bCs w:val="1"/>
                <w:color w:val="auto"/>
                <w:w w:val="86"/>
              </w:rPr>
              <w:t>Restated</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4"/>
        </w:trPr>
        <w:tc>
          <w:tcPr>
            <w:tcW w:w="1480" w:type="dxa"/>
            <w:vAlign w:val="bottom"/>
          </w:tcPr>
          <w:p>
            <w:pPr>
              <w:jc w:val="right"/>
              <w:ind w:right="551"/>
              <w:spacing w:after="0"/>
              <w:rPr>
                <w:sz w:val="20"/>
                <w:szCs w:val="20"/>
                <w:color w:val="auto"/>
              </w:rPr>
            </w:pPr>
            <w:r>
              <w:rPr>
                <w:rFonts w:ascii="Arial" w:cs="Arial" w:eastAsia="Arial" w:hAnsi="Arial"/>
                <w:sz w:val="12"/>
                <w:szCs w:val="12"/>
                <w:b w:val="1"/>
                <w:bCs w:val="1"/>
                <w:color w:val="auto"/>
              </w:rPr>
              <w:t>2003</w:t>
            </w:r>
          </w:p>
        </w:tc>
        <w:tc>
          <w:tcPr>
            <w:tcW w:w="1800" w:type="dxa"/>
            <w:vAlign w:val="bottom"/>
            <w:gridSpan w:val="2"/>
          </w:tcPr>
          <w:p>
            <w:pPr>
              <w:jc w:val="center"/>
              <w:ind w:left="51"/>
              <w:spacing w:after="0"/>
              <w:rPr>
                <w:sz w:val="20"/>
                <w:szCs w:val="20"/>
                <w:color w:val="auto"/>
              </w:rPr>
            </w:pPr>
            <w:r>
              <w:rPr>
                <w:rFonts w:ascii="Arial" w:cs="Arial" w:eastAsia="Arial" w:hAnsi="Arial"/>
                <w:sz w:val="12"/>
                <w:szCs w:val="12"/>
                <w:b w:val="1"/>
                <w:bCs w:val="1"/>
                <w:color w:val="auto"/>
                <w:w w:val="89"/>
              </w:rPr>
              <w:t>2002</w:t>
            </w:r>
          </w:p>
        </w:tc>
        <w:tc>
          <w:tcPr>
            <w:tcW w:w="12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2001</w:t>
            </w:r>
          </w:p>
        </w:tc>
      </w:tr>
      <w:tr>
        <w:trPr>
          <w:trHeight w:val="83"/>
        </w:trPr>
        <w:tc>
          <w:tcPr>
            <w:tcW w:w="14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r>
      <w:tr>
        <w:trPr>
          <w:trHeight w:val="276"/>
        </w:trPr>
        <w:tc>
          <w:tcPr>
            <w:tcW w:w="1480" w:type="dxa"/>
            <w:vAlign w:val="bottom"/>
          </w:tcPr>
          <w:p>
            <w:pPr>
              <w:jc w:val="right"/>
              <w:ind w:right="511"/>
              <w:spacing w:after="0"/>
              <w:rPr>
                <w:sz w:val="20"/>
                <w:szCs w:val="20"/>
                <w:color w:val="auto"/>
              </w:rPr>
            </w:pPr>
            <w:r>
              <w:rPr>
                <w:rFonts w:ascii="Arial" w:cs="Arial" w:eastAsia="Arial" w:hAnsi="Arial"/>
                <w:sz w:val="16"/>
                <w:szCs w:val="16"/>
                <w:color w:val="auto"/>
              </w:rPr>
              <w:t>$127.3</w:t>
            </w:r>
          </w:p>
        </w:tc>
        <w:tc>
          <w:tcPr>
            <w:tcW w:w="1800" w:type="dxa"/>
            <w:vAlign w:val="bottom"/>
            <w:gridSpan w:val="2"/>
          </w:tcPr>
          <w:p>
            <w:pPr>
              <w:jc w:val="center"/>
              <w:ind w:left="11"/>
              <w:spacing w:after="0"/>
              <w:rPr>
                <w:sz w:val="20"/>
                <w:szCs w:val="20"/>
                <w:color w:val="auto"/>
              </w:rPr>
            </w:pPr>
            <w:r>
              <w:rPr>
                <w:rFonts w:ascii="Arial" w:cs="Arial" w:eastAsia="Arial" w:hAnsi="Arial"/>
                <w:sz w:val="16"/>
                <w:szCs w:val="16"/>
                <w:color w:val="auto"/>
                <w:w w:val="89"/>
              </w:rPr>
              <w:t>$122.0</w:t>
            </w:r>
          </w:p>
        </w:tc>
        <w:tc>
          <w:tcPr>
            <w:tcW w:w="1280" w:type="dxa"/>
            <w:vAlign w:val="bottom"/>
            <w:gridSpan w:val="2"/>
          </w:tcPr>
          <w:p>
            <w:pPr>
              <w:jc w:val="right"/>
              <w:ind w:right="400"/>
              <w:spacing w:after="0"/>
              <w:rPr>
                <w:sz w:val="20"/>
                <w:szCs w:val="20"/>
                <w:color w:val="auto"/>
              </w:rPr>
            </w:pPr>
            <w:r>
              <w:rPr>
                <w:rFonts w:ascii="Arial" w:cs="Arial" w:eastAsia="Arial" w:hAnsi="Arial"/>
                <w:sz w:val="16"/>
                <w:szCs w:val="16"/>
                <w:color w:val="auto"/>
              </w:rPr>
              <w:t>$123.2</w:t>
            </w: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Product Warranties</w:t>
      </w:r>
    </w:p>
    <w:p>
      <w:pPr>
        <w:spacing w:after="0" w:line="222" w:lineRule="exact"/>
        <w:rPr>
          <w:sz w:val="20"/>
          <w:szCs w:val="20"/>
          <w:color w:val="auto"/>
        </w:rPr>
      </w:pPr>
    </w:p>
    <w:p>
      <w:pPr>
        <w:ind w:right="220" w:firstLine="286"/>
        <w:spacing w:after="0" w:line="264" w:lineRule="auto"/>
        <w:rPr>
          <w:sz w:val="20"/>
          <w:szCs w:val="20"/>
          <w:color w:val="auto"/>
        </w:rPr>
      </w:pPr>
      <w:r>
        <w:rPr>
          <w:rFonts w:ascii="Arial" w:cs="Arial" w:eastAsia="Arial" w:hAnsi="Arial"/>
          <w:sz w:val="16"/>
          <w:szCs w:val="16"/>
          <w:color w:val="auto"/>
        </w:rPr>
        <w:t>A liability for estimated warranty expense is established by a charge against operations at the time products are sold. The subsequent costs incurred for warranty claims serve to reduce the product warranty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liability. The Company recorded warranty expense of $25.4 million, $25.9 million and $27.2 million for the years ended December 31, 2003, 2002 and 2001, respectively.</w:t>
      </w:r>
    </w:p>
    <w:p>
      <w:pPr>
        <w:spacing w:after="0" w:line="244" w:lineRule="exact"/>
        <w:rPr>
          <w:sz w:val="20"/>
          <w:szCs w:val="20"/>
          <w:color w:val="auto"/>
        </w:rPr>
      </w:pPr>
    </w:p>
    <w:p>
      <w:pPr>
        <w:ind w:right="160" w:firstLine="286"/>
        <w:spacing w:after="0" w:line="301" w:lineRule="auto"/>
        <w:rPr>
          <w:sz w:val="20"/>
          <w:szCs w:val="20"/>
          <w:color w:val="auto"/>
        </w:rPr>
      </w:pPr>
      <w:r>
        <w:rPr>
          <w:rFonts w:ascii="Arial" w:cs="Arial" w:eastAsia="Arial" w:hAnsi="Arial"/>
          <w:sz w:val="14"/>
          <w:szCs w:val="14"/>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changes in actual failure rate and cost experience.</w:t>
      </w:r>
    </w:p>
    <w:p>
      <w:pPr>
        <w:spacing w:after="0" w:line="170" w:lineRule="exact"/>
        <w:rPr>
          <w:sz w:val="20"/>
          <w:szCs w:val="20"/>
          <w:color w:val="auto"/>
        </w:rPr>
      </w:pPr>
    </w:p>
    <w:p>
      <w:pPr>
        <w:ind w:right="80" w:firstLine="286"/>
        <w:spacing w:after="0" w:line="264" w:lineRule="auto"/>
        <w:rPr>
          <w:sz w:val="20"/>
          <w:szCs w:val="20"/>
          <w:color w:val="auto"/>
        </w:rPr>
      </w:pPr>
      <w:r>
        <w:rPr>
          <w:rFonts w:ascii="Arial" w:cs="Arial" w:eastAsia="Arial" w:hAnsi="Arial"/>
          <w:sz w:val="16"/>
          <w:szCs w:val="16"/>
          <w:color w:val="auto"/>
        </w:rPr>
        <w:t>Total liabilities for estimated warranty expense are $67.3 million and $63.6 million as of December 31, 2003 and 2002, respectively, and are included in the following captions on the accompanying Consolidated Balance Sheets (in millions):</w:t>
      </w:r>
    </w:p>
    <w:p>
      <w:pPr>
        <w:spacing w:after="0" w:line="35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5"/>
          </w:tcPr>
          <w:p>
            <w:pPr>
              <w:ind w:left="160"/>
              <w:spacing w:after="0"/>
              <w:rPr>
                <w:sz w:val="20"/>
                <w:szCs w:val="20"/>
                <w:color w:val="auto"/>
              </w:rPr>
            </w:pPr>
            <w:r>
              <w:rPr>
                <w:rFonts w:ascii="Arial" w:cs="Arial" w:eastAsia="Arial" w:hAnsi="Arial"/>
                <w:sz w:val="12"/>
                <w:szCs w:val="12"/>
                <w:b w:val="1"/>
                <w:bCs w:val="1"/>
                <w:color w:val="auto"/>
              </w:rPr>
              <w:t>December 31,</w:t>
            </w:r>
          </w:p>
        </w:tc>
      </w:tr>
      <w:tr>
        <w:trPr>
          <w:trHeight w:val="83"/>
        </w:trPr>
        <w:tc>
          <w:tcPr>
            <w:tcW w:w="59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r>
      <w:tr>
        <w:trPr>
          <w:trHeight w:val="208"/>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2"/>
                <w:szCs w:val="12"/>
                <w:b w:val="1"/>
                <w:bCs w:val="1"/>
                <w:color w:val="auto"/>
              </w:rPr>
              <w:t>Restated</w:t>
            </w:r>
          </w:p>
        </w:tc>
      </w:tr>
      <w:tr>
        <w:trPr>
          <w:trHeight w:val="154"/>
        </w:trPr>
        <w:tc>
          <w:tcPr>
            <w:tcW w:w="59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114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2002</w:t>
            </w:r>
          </w:p>
        </w:tc>
        <w:tc>
          <w:tcPr>
            <w:tcW w:w="400" w:type="dxa"/>
            <w:vAlign w:val="bottom"/>
          </w:tcPr>
          <w:p>
            <w:pPr>
              <w:spacing w:after="0"/>
              <w:rPr>
                <w:sz w:val="13"/>
                <w:szCs w:val="13"/>
                <w:color w:val="auto"/>
              </w:rPr>
            </w:pPr>
          </w:p>
        </w:tc>
      </w:tr>
      <w:tr>
        <w:trPr>
          <w:trHeight w:val="83"/>
        </w:trPr>
        <w:tc>
          <w:tcPr>
            <w:tcW w:w="59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r>
      <w:tr>
        <w:trPr>
          <w:trHeight w:val="87"/>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r>
      <w:tr>
        <w:trPr>
          <w:trHeight w:val="191"/>
        </w:trPr>
        <w:tc>
          <w:tcPr>
            <w:tcW w:w="5940" w:type="dxa"/>
            <w:vAlign w:val="bottom"/>
            <w:shd w:val="clear" w:color="auto" w:fill="EEEEEE"/>
          </w:tcPr>
          <w:p>
            <w:pPr>
              <w:spacing w:after="0"/>
              <w:rPr>
                <w:sz w:val="20"/>
                <w:szCs w:val="20"/>
                <w:color w:val="auto"/>
              </w:rPr>
            </w:pPr>
            <w:r>
              <w:rPr>
                <w:rFonts w:ascii="Arial" w:cs="Arial" w:eastAsia="Arial" w:hAnsi="Arial"/>
                <w:sz w:val="16"/>
                <w:szCs w:val="16"/>
                <w:color w:val="auto"/>
              </w:rPr>
              <w:t>Accrued expenses</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$28.1</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$25.9</w:t>
            </w:r>
          </w:p>
        </w:tc>
        <w:tc>
          <w:tcPr>
            <w:tcW w:w="400" w:type="dxa"/>
            <w:vAlign w:val="bottom"/>
            <w:shd w:val="clear" w:color="auto" w:fill="EEEEEE"/>
          </w:tcPr>
          <w:p>
            <w:pPr>
              <w:spacing w:after="0"/>
              <w:rPr>
                <w:sz w:val="16"/>
                <w:szCs w:val="16"/>
                <w:color w:val="auto"/>
              </w:rPr>
            </w:pPr>
          </w:p>
        </w:tc>
      </w:tr>
      <w:tr>
        <w:trPr>
          <w:trHeight w:val="196"/>
        </w:trPr>
        <w:tc>
          <w:tcPr>
            <w:tcW w:w="5940" w:type="dxa"/>
            <w:vAlign w:val="bottom"/>
          </w:tcPr>
          <w:p>
            <w:pPr>
              <w:spacing w:after="0"/>
              <w:rPr>
                <w:sz w:val="20"/>
                <w:szCs w:val="20"/>
                <w:color w:val="auto"/>
              </w:rPr>
            </w:pPr>
            <w:r>
              <w:rPr>
                <w:rFonts w:ascii="Arial" w:cs="Arial" w:eastAsia="Arial" w:hAnsi="Arial"/>
                <w:sz w:val="16"/>
                <w:szCs w:val="16"/>
                <w:color w:val="auto"/>
              </w:rPr>
              <w:t>Other Liabilities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39.2</w:t>
            </w:r>
          </w:p>
        </w:tc>
        <w:tc>
          <w:tcPr>
            <w:tcW w:w="1140" w:type="dxa"/>
            <w:vAlign w:val="bottom"/>
            <w:gridSpan w:val="4"/>
          </w:tcPr>
          <w:p>
            <w:pPr>
              <w:jc w:val="right"/>
              <w:spacing w:after="0"/>
              <w:rPr>
                <w:sz w:val="20"/>
                <w:szCs w:val="20"/>
                <w:color w:val="auto"/>
              </w:rPr>
            </w:pPr>
            <w:r>
              <w:rPr>
                <w:rFonts w:ascii="Arial" w:cs="Arial" w:eastAsia="Arial" w:hAnsi="Arial"/>
                <w:sz w:val="16"/>
                <w:szCs w:val="16"/>
                <w:color w:val="auto"/>
              </w:rPr>
              <w:t>37.7</w:t>
            </w:r>
          </w:p>
        </w:tc>
        <w:tc>
          <w:tcPr>
            <w:tcW w:w="400" w:type="dxa"/>
            <w:vAlign w:val="bottom"/>
          </w:tcPr>
          <w:p>
            <w:pPr>
              <w:spacing w:after="0"/>
              <w:rPr>
                <w:sz w:val="17"/>
                <w:szCs w:val="17"/>
                <w:color w:val="auto"/>
              </w:rPr>
            </w:pPr>
          </w:p>
        </w:tc>
      </w:tr>
      <w:tr>
        <w:trPr>
          <w:trHeight w:val="90"/>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r>
      <w:tr>
        <w:trPr>
          <w:trHeight w:val="87"/>
        </w:trPr>
        <w:tc>
          <w:tcPr>
            <w:tcW w:w="5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r>
      <w:tr>
        <w:trPr>
          <w:trHeight w:val="191"/>
        </w:trPr>
        <w:tc>
          <w:tcPr>
            <w:tcW w:w="59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$67.3</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$63.6</w:t>
            </w:r>
          </w:p>
        </w:tc>
        <w:tc>
          <w:tcPr>
            <w:tcW w:w="400" w:type="dxa"/>
            <w:vAlign w:val="bottom"/>
            <w:shd w:val="clear" w:color="auto" w:fill="EEEEEE"/>
          </w:tcPr>
          <w:p>
            <w:pPr>
              <w:spacing w:after="0"/>
              <w:rPr>
                <w:sz w:val="16"/>
                <w:szCs w:val="16"/>
                <w:color w:val="auto"/>
              </w:rPr>
            </w:pPr>
          </w:p>
        </w:tc>
      </w:tr>
      <w:tr>
        <w:trPr>
          <w:trHeight w:val="127"/>
        </w:trPr>
        <w:tc>
          <w:tcPr>
            <w:tcW w:w="5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-34925</wp:posOffset>
            </wp:positionV>
            <wp:extent cx="12700"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-34925</wp:posOffset>
            </wp:positionV>
            <wp:extent cx="12700"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5909310</wp:posOffset>
            </wp:positionH>
            <wp:positionV relativeFrom="paragraph">
              <wp:posOffset>-34925</wp:posOffset>
            </wp:positionV>
            <wp:extent cx="12700"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-34925</wp:posOffset>
            </wp:positionV>
            <wp:extent cx="12700"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changes in the carrying amount of the Company’s total warranty liabilities for the years ended December 31, 2003 and 2002 are as follows (in millions):</w:t>
      </w:r>
    </w:p>
    <w:p>
      <w:pPr>
        <w:spacing w:after="0" w:line="395" w:lineRule="exact"/>
        <w:rPr>
          <w:sz w:val="20"/>
          <w:szCs w:val="20"/>
          <w:color w:val="auto"/>
        </w:rPr>
      </w:pPr>
    </w:p>
    <w:tbl>
      <w:tblPr>
        <w:tblLayout w:type="fixed"/>
        <w:tblInd w:w="228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Total warranty liability at December 31, 2001</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$ 61.9</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Payments made in 2002</w:t>
            </w:r>
          </w:p>
        </w:tc>
        <w:tc>
          <w:tcPr>
            <w:tcW w:w="1840" w:type="dxa"/>
            <w:vAlign w:val="bottom"/>
            <w:gridSpan w:val="3"/>
          </w:tcPr>
          <w:p>
            <w:pPr>
              <w:jc w:val="right"/>
              <w:ind w:right="14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Changes resulting from issuance of new warranties (restated)</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020" w:type="dxa"/>
            <w:vAlign w:val="bottom"/>
            <w:gridSpan w:val="2"/>
          </w:tcPr>
          <w:p>
            <w:pPr>
              <w:spacing w:after="0"/>
              <w:rPr>
                <w:sz w:val="8"/>
                <w:szCs w:val="8"/>
                <w:color w:val="auto"/>
              </w:rPr>
            </w:pPr>
          </w:p>
        </w:tc>
        <w:tc>
          <w:tcPr>
            <w:tcW w:w="1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020" w:type="dxa"/>
            <w:vAlign w:val="bottom"/>
            <w:gridSpan w:val="2"/>
          </w:tcPr>
          <w:p>
            <w:pPr>
              <w:spacing w:after="0"/>
              <w:rPr>
                <w:sz w:val="20"/>
                <w:szCs w:val="20"/>
                <w:color w:val="auto"/>
              </w:rPr>
            </w:pPr>
            <w:r>
              <w:rPr>
                <w:rFonts w:ascii="Arial" w:cs="Arial" w:eastAsia="Arial" w:hAnsi="Arial"/>
                <w:sz w:val="16"/>
                <w:szCs w:val="16"/>
                <w:color w:val="auto"/>
              </w:rPr>
              <w:t>Total warranty liability at December 31, 2002 (restated)</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$ 63.6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Payments made in 2003</w:t>
            </w:r>
          </w:p>
        </w:tc>
        <w:tc>
          <w:tcPr>
            <w:tcW w:w="1840" w:type="dxa"/>
            <w:vAlign w:val="bottom"/>
            <w:gridSpan w:val="3"/>
            <w:shd w:val="clear" w:color="auto" w:fill="EEEEEE"/>
          </w:tcPr>
          <w:p>
            <w:pPr>
              <w:jc w:val="right"/>
              <w:ind w:right="14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Changes resulting from issuance of new warranties</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0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6"/>
                <w:szCs w:val="16"/>
                <w:color w:val="auto"/>
              </w:rPr>
              <w:t>Total warranty liability at December 31, 2003</w:t>
            </w:r>
          </w:p>
        </w:tc>
        <w:tc>
          <w:tcPr>
            <w:tcW w:w="16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$ 67.3</w:t>
            </w:r>
          </w:p>
        </w:tc>
        <w:tc>
          <w:tcPr>
            <w:tcW w:w="2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-34925</wp:posOffset>
            </wp:positionV>
            <wp:extent cx="1270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-34925</wp:posOffset>
            </wp:positionV>
            <wp:extent cx="12700"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change in warranty liability that results from changes in estimates of warranties issued prior to 2003 is not significant.</w:t>
      </w: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Income Taxes</w:t>
      </w:r>
    </w:p>
    <w:p>
      <w:pPr>
        <w:spacing w:after="0" w:line="222" w:lineRule="exact"/>
        <w:rPr>
          <w:sz w:val="20"/>
          <w:szCs w:val="20"/>
          <w:color w:val="auto"/>
        </w:rPr>
      </w:pPr>
    </w:p>
    <w:p>
      <w:pPr>
        <w:ind w:firstLine="286"/>
        <w:spacing w:after="0" w:line="301"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36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2" w:lineRule="exact"/>
        <w:rPr>
          <w:sz w:val="20"/>
          <w:szCs w:val="20"/>
          <w:color w:val="auto"/>
        </w:rPr>
      </w:pPr>
    </w:p>
    <w:p>
      <w:pPr>
        <w:ind w:right="360" w:firstLine="286"/>
        <w:spacing w:after="0" w:line="336" w:lineRule="auto"/>
        <w:rPr>
          <w:sz w:val="20"/>
          <w:szCs w:val="20"/>
          <w:color w:val="auto"/>
        </w:rPr>
      </w:pPr>
      <w:r>
        <w:rPr>
          <w:rFonts w:ascii="Arial" w:cs="Arial" w:eastAsia="Arial" w:hAnsi="Arial"/>
          <w:sz w:val="14"/>
          <w:szCs w:val="14"/>
          <w:color w:val="auto"/>
        </w:rPr>
        <w:t>The Company’s Residential Heating &amp; Cooling, Commercial Heating &amp; Cooling and Refrigeration segments recognize revenue when products are shipped to customers. The Company’s Service Experts segment recognizes sales, installation, maintenance and repair revenues at the time the services are completed.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The Service Experts segment also provides HVAC system design and installation services under fixed-price contracts, which may extend up to one year. Revenue for these services is recognized on the percentage-of-completion method, based on the percentage of incurred contract costs-to-date in relation to total estimated contract costs, after giving effect to the most recent estimates of total cost. The effect of changes to total estimated contract revenue or cost is recognized in the period such changes are determined. Provisions for estimated losses on individual contracts are made in the period in which the loss first becomes apparent. The adoption of Emerging Issues Task Force Issues No. 00-21, “Revenue Arrangements with Multiple Deliverables,” in June 2003 did not have a material impact on the Company’s financial statements.</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2" w:lineRule="exact"/>
        <w:rPr>
          <w:sz w:val="20"/>
          <w:szCs w:val="20"/>
          <w:color w:val="auto"/>
        </w:rPr>
      </w:pPr>
    </w:p>
    <w:p>
      <w:pPr>
        <w:ind w:right="60" w:firstLine="286"/>
        <w:spacing w:after="0" w:line="301" w:lineRule="auto"/>
        <w:rPr>
          <w:sz w:val="20"/>
          <w:szCs w:val="20"/>
          <w:color w:val="auto"/>
        </w:rPr>
      </w:pPr>
      <w:r>
        <w:rPr>
          <w:rFonts w:ascii="Arial" w:cs="Arial" w:eastAsia="Arial" w:hAnsi="Arial"/>
          <w:sz w:val="14"/>
          <w:szCs w:val="14"/>
          <w:color w:val="auto"/>
        </w:rPr>
        <w:t>The Company accounts for its stock-based compensation under the recognition and measurement principles of Accounting Principles Board “APB” Opinion No. 25, “Accounting for Stock Issued to Employees,” and related interpretations (“APB 25”) and has adopted the disclosure-only provisions of Statement of Financial Accounting Standards No. 123 (“SFAS No. 123”), “Accounting for Stock-Based Compensation,” as amended. Under APB 25, no stock-based compensation cost is reflected in net income for grants of stock options to employees because the Company grants stock options with an exercise price equal to the market value of the stock on the date of grant.</w:t>
      </w:r>
    </w:p>
    <w:p>
      <w:pPr>
        <w:spacing w:after="0" w:line="170" w:lineRule="exact"/>
        <w:rPr>
          <w:sz w:val="20"/>
          <w:szCs w:val="20"/>
          <w:color w:val="auto"/>
        </w:rPr>
      </w:pPr>
    </w:p>
    <w:p>
      <w:pPr>
        <w:ind w:right="760" w:firstLine="286"/>
        <w:spacing w:after="0" w:line="264" w:lineRule="auto"/>
        <w:rPr>
          <w:sz w:val="20"/>
          <w:szCs w:val="20"/>
          <w:color w:val="auto"/>
        </w:rPr>
      </w:pPr>
      <w:r>
        <w:rPr>
          <w:rFonts w:ascii="Arial" w:cs="Arial" w:eastAsia="Arial" w:hAnsi="Arial"/>
          <w:sz w:val="16"/>
          <w:szCs w:val="16"/>
          <w:color w:val="auto"/>
        </w:rPr>
        <w:t>The following table illustrates the pro-forma effect on net income and earnings per share as if the Company had used the fair-value-based accounting method for stock compensation expense described by SFAS No. 123 (in millions, except per share data):</w:t>
      </w:r>
    </w:p>
    <w:p>
      <w:pPr>
        <w:spacing w:after="0" w:line="35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6"/>
          </w:tcPr>
          <w:p>
            <w:pPr>
              <w:ind w:left="140"/>
              <w:spacing w:after="0"/>
              <w:rPr>
                <w:sz w:val="20"/>
                <w:szCs w:val="20"/>
                <w:color w:val="auto"/>
              </w:rPr>
            </w:pPr>
            <w:r>
              <w:rPr>
                <w:rFonts w:ascii="Arial" w:cs="Arial" w:eastAsia="Arial" w:hAnsi="Arial"/>
                <w:sz w:val="12"/>
                <w:szCs w:val="12"/>
                <w:b w:val="1"/>
                <w:bCs w:val="1"/>
                <w:color w:val="auto"/>
                <w:w w:val="93"/>
              </w:rPr>
              <w:t>For the Year Ending December 31,</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5"/>
          </w:tcPr>
          <w:p>
            <w:pPr>
              <w:ind w:left="480"/>
              <w:spacing w:after="0"/>
              <w:rPr>
                <w:sz w:val="20"/>
                <w:szCs w:val="20"/>
                <w:color w:val="auto"/>
              </w:rPr>
            </w:pPr>
            <w:r>
              <w:rPr>
                <w:rFonts w:ascii="Arial" w:cs="Arial" w:eastAsia="Arial" w:hAnsi="Arial"/>
                <w:sz w:val="12"/>
                <w:szCs w:val="12"/>
                <w:b w:val="1"/>
                <w:bCs w:val="1"/>
                <w:color w:val="auto"/>
              </w:rPr>
              <w:t>Restated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jc w:val="right"/>
              <w:ind w:right="4"/>
              <w:spacing w:after="0"/>
              <w:rPr>
                <w:sz w:val="20"/>
                <w:szCs w:val="20"/>
                <w:color w:val="auto"/>
              </w:rPr>
            </w:pPr>
            <w:r>
              <w:rPr>
                <w:rFonts w:ascii="Arial" w:cs="Arial" w:eastAsia="Arial" w:hAnsi="Arial"/>
                <w:sz w:val="12"/>
                <w:szCs w:val="12"/>
                <w:b w:val="1"/>
                <w:bCs w:val="1"/>
                <w:color w:val="auto"/>
              </w:rPr>
              <w:t>2002</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 as reported</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w w:val="86"/>
              </w:rPr>
              <w:t>(205.0)</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Add: Reported stock-based compensation expense, net of taxes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Deduct: Fair-value-based compensation expense, net of taxes</w:t>
            </w: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(9.1)</w:t>
            </w:r>
          </w:p>
        </w:tc>
        <w:tc>
          <w:tcPr>
            <w:tcW w:w="3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(2.9)</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95"/>
        </w:trPr>
        <w:tc>
          <w:tcPr>
            <w:tcW w:w="63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360" w:type="dxa"/>
            <w:vAlign w:val="bottom"/>
            <w:gridSpan w:val="2"/>
          </w:tcPr>
          <w:p>
            <w:pPr>
              <w:spacing w:after="0"/>
              <w:rPr>
                <w:sz w:val="20"/>
                <w:szCs w:val="20"/>
                <w:color w:val="auto"/>
              </w:rPr>
            </w:pPr>
            <w:r>
              <w:rPr>
                <w:rFonts w:ascii="Arial" w:cs="Arial" w:eastAsia="Arial" w:hAnsi="Arial"/>
                <w:sz w:val="16"/>
                <w:szCs w:val="16"/>
                <w:color w:val="auto"/>
              </w:rPr>
              <w:t>Net income (loss), pro-forma</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$79.3</w:t>
            </w:r>
          </w:p>
        </w:tc>
        <w:tc>
          <w:tcPr>
            <w:tcW w:w="2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6"/>
                <w:szCs w:val="16"/>
                <w:color w:val="auto"/>
                <w:w w:val="86"/>
              </w:rPr>
              <w:t>(206.6)</w:t>
            </w:r>
          </w:p>
        </w:tc>
        <w:tc>
          <w:tcPr>
            <w:tcW w:w="28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Earnings per share:</w:t>
            </w:r>
          </w:p>
        </w:tc>
        <w:tc>
          <w:tcPr>
            <w:tcW w:w="3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Basic, as reported</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6"/>
                <w:szCs w:val="16"/>
                <w:color w:val="auto"/>
              </w:rPr>
              <w:t>(3.58)</w:t>
            </w:r>
          </w:p>
        </w:tc>
        <w:tc>
          <w:tcPr>
            <w:tcW w:w="2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Basic, pro-forma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Diluted, as reported</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6"/>
                <w:szCs w:val="16"/>
                <w:color w:val="auto"/>
              </w:rPr>
              <w:t>(3.48)</w:t>
            </w:r>
          </w:p>
        </w:tc>
        <w:tc>
          <w:tcPr>
            <w:tcW w:w="2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6"/>
                <w:szCs w:val="16"/>
                <w:color w:val="auto"/>
              </w:rPr>
              <w:t>Diluted, pro-forma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$1.31</w:t>
            </w:r>
          </w:p>
        </w:tc>
        <w:tc>
          <w:tcPr>
            <w:tcW w:w="280" w:type="dxa"/>
            <w:vAlign w:val="bottom"/>
            <w:shd w:val="clear" w:color="auto" w:fill="EEEEEE"/>
          </w:tcPr>
          <w:p>
            <w:pPr>
              <w:spacing w:after="0"/>
              <w:rPr>
                <w:sz w:val="16"/>
                <w:szCs w:val="16"/>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440"/>
              <w:spacing w:after="0"/>
              <w:rPr>
                <w:sz w:val="20"/>
                <w:szCs w:val="20"/>
                <w:color w:val="auto"/>
              </w:rPr>
            </w:pPr>
            <w:r>
              <w:rPr>
                <w:rFonts w:ascii="Arial" w:cs="Arial" w:eastAsia="Arial" w:hAnsi="Arial"/>
                <w:sz w:val="16"/>
                <w:szCs w:val="16"/>
                <w:color w:val="auto"/>
              </w:rPr>
              <w:t>(3.51)</w:t>
            </w:r>
          </w:p>
        </w:tc>
        <w:tc>
          <w:tcPr>
            <w:tcW w:w="280" w:type="dxa"/>
            <w:vAlign w:val="bottom"/>
            <w:shd w:val="clear" w:color="auto" w:fill="EEEEEE"/>
          </w:tcPr>
          <w:p>
            <w:pPr>
              <w:spacing w:after="0"/>
              <w:rPr>
                <w:sz w:val="16"/>
                <w:szCs w:val="16"/>
                <w:color w:val="auto"/>
              </w:rPr>
            </w:pPr>
          </w:p>
        </w:tc>
        <w:tc>
          <w:tcPr>
            <w:tcW w:w="10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-698500</wp:posOffset>
            </wp:positionV>
            <wp:extent cx="12700"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-698500</wp:posOffset>
            </wp:positionV>
            <wp:extent cx="12700"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5742305</wp:posOffset>
            </wp:positionH>
            <wp:positionV relativeFrom="paragraph">
              <wp:posOffset>-698500</wp:posOffset>
            </wp:positionV>
            <wp:extent cx="12700"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5492750</wp:posOffset>
            </wp:positionH>
            <wp:positionV relativeFrom="paragraph">
              <wp:posOffset>-698500</wp:posOffset>
            </wp:positionV>
            <wp:extent cx="1270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-698500</wp:posOffset>
            </wp:positionV>
            <wp:extent cx="12700"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-698500</wp:posOffset>
            </wp:positionV>
            <wp:extent cx="1270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costs are expensed as incurred. The Company expended approximately $38.0 million, $38.2 million and $37.3 million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December 31, 2003, 2002 and 2001, respectively, for research and product development activities. Research and development costs are included in Selling, General and Administrative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Expense on the accompanying Consolidated Statements of Operations.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Advertising</w:t>
      </w:r>
    </w:p>
    <w:p>
      <w:pPr>
        <w:spacing w:after="0" w:line="222" w:lineRule="exact"/>
        <w:rPr>
          <w:sz w:val="20"/>
          <w:szCs w:val="20"/>
          <w:color w:val="auto"/>
        </w:rPr>
      </w:pPr>
    </w:p>
    <w:p>
      <w:pPr>
        <w:ind w:right="20" w:firstLine="286"/>
        <w:spacing w:after="0" w:line="264" w:lineRule="auto"/>
        <w:rPr>
          <w:sz w:val="20"/>
          <w:szCs w:val="20"/>
          <w:color w:val="auto"/>
        </w:rPr>
      </w:pPr>
      <w:r>
        <w:rPr>
          <w:rFonts w:ascii="Arial" w:cs="Arial" w:eastAsia="Arial" w:hAnsi="Arial"/>
          <w:sz w:val="16"/>
          <w:szCs w:val="16"/>
          <w:color w:val="auto"/>
        </w:rPr>
        <w:t>The costs of advertising, promotion and marketing programs are charged to operations in the period incurred. Expense relating to advertising, promotions and marketing programs was $76.7 million, $72.8 million and $78.4 million for the years ended December 31, 2003, 2002 and 2001, respectively.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48" w:name="page49"/>
    <w:bookmarkEnd w:id="48"/>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222" w:lineRule="exact"/>
        <w:rPr>
          <w:sz w:val="20"/>
          <w:szCs w:val="20"/>
          <w:color w:val="auto"/>
        </w:rPr>
      </w:pPr>
    </w:p>
    <w:p>
      <w:pPr>
        <w:ind w:left="5" w:right="60" w:firstLine="286"/>
        <w:spacing w:after="0" w:line="254" w:lineRule="auto"/>
        <w:rPr>
          <w:sz w:val="20"/>
          <w:szCs w:val="20"/>
          <w:color w:val="auto"/>
        </w:rPr>
      </w:pPr>
      <w:r>
        <w:rPr>
          <w:rFonts w:ascii="Arial" w:cs="Arial" w:eastAsia="Arial" w:hAnsi="Arial"/>
          <w:sz w:val="16"/>
          <w:szCs w:val="16"/>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included in accumulated other comprehensive income. Transaction gains (losses) included in Other (Income) Expense in the accompanying Consolidated Statements of Operations were $4.2 million, $1.2 million and $(0.4) million for the years ended December 31, 2003, 2002 and 2001, respectively.</w:t>
      </w:r>
    </w:p>
    <w:p>
      <w:pPr>
        <w:spacing w:after="0" w:line="390"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Derivatives</w:t>
      </w:r>
    </w:p>
    <w:p>
      <w:pPr>
        <w:spacing w:after="0" w:line="222" w:lineRule="exact"/>
        <w:rPr>
          <w:sz w:val="20"/>
          <w:szCs w:val="20"/>
          <w:color w:val="auto"/>
        </w:rPr>
      </w:pPr>
    </w:p>
    <w:p>
      <w:pPr>
        <w:ind w:left="5" w:firstLine="286"/>
        <w:spacing w:after="0" w:line="290" w:lineRule="auto"/>
        <w:rPr>
          <w:sz w:val="20"/>
          <w:szCs w:val="20"/>
          <w:color w:val="auto"/>
        </w:rPr>
      </w:pPr>
      <w:r>
        <w:rPr>
          <w:rFonts w:ascii="Arial" w:cs="Arial" w:eastAsia="Arial" w:hAnsi="Arial"/>
          <w:sz w:val="14"/>
          <w:szCs w:val="14"/>
          <w:color w:val="auto"/>
        </w:rPr>
        <w:t>Derivative financial instruments are recognized as either assets or liabilities in the balance sheet and are carried at fair value. Changes in fair value of these instruments are recognized periodically in earnings or stockholders’ equity depending on the intended use of the instrument. Gains or losses arising from the changes in the fair value of derivatives designated as fair value hedges are recognized in earnings. Gains or losses arising from the changes in the fair value of derivatives designated as cash flow hedges are initially reported as a component of other comprehensive income and later classified into cost of goods sold in the period in which the hedged item also affects earnings. The Company hedges its exposure to the fluctuation on the prices paid for copper and aluminum metals by purchasing futures contracts on these metals. Gains or losses recognized on the closing of these contracts adjust the cost of the physical deliveries of these metals. Quantities covered by these commodity futures contracts are for less than actual quantities expected to be purchased. As of December 31, 2003, the Company had metals futures contracts maturing at various dates to December 31, 2004, for which the fair value was an asset of $2.3 million. These are hedges of forecasted transactions, and are considered cash flow hedges. Accordingly, the Company has recorded an unrealized gain of $1.4 million, net of tax provision of $0.9 million, in the Accumulated Other Comprehensive Loss component of stockholders’ equity. This deferred gain will be reclassified into the cost of inventory as the commodity futures contracts settle, all of which will happen within the next twelve months. Hedge ineffectiveness was immaterial for 2003 and 2002.</w:t>
      </w:r>
    </w:p>
    <w:p>
      <w:pPr>
        <w:spacing w:after="0" w:line="36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22" w:lineRule="exact"/>
        <w:rPr>
          <w:sz w:val="20"/>
          <w:szCs w:val="20"/>
          <w:color w:val="auto"/>
        </w:rPr>
      </w:pPr>
    </w:p>
    <w:p>
      <w:pPr>
        <w:ind w:left="5" w:right="240" w:firstLine="286"/>
        <w:spacing w:after="0" w:line="25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89"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222" w:lineRule="exact"/>
        <w:rPr>
          <w:sz w:val="20"/>
          <w:szCs w:val="20"/>
          <w:color w:val="auto"/>
        </w:rPr>
      </w:pPr>
    </w:p>
    <w:p>
      <w:pPr>
        <w:ind w:left="285"/>
        <w:spacing w:after="0"/>
        <w:rPr>
          <w:sz w:val="20"/>
          <w:szCs w:val="20"/>
          <w:color w:val="auto"/>
        </w:rPr>
      </w:pPr>
      <w:r>
        <w:rPr>
          <w:rFonts w:ascii="Arial" w:cs="Arial" w:eastAsia="Arial" w:hAnsi="Arial"/>
          <w:sz w:val="16"/>
          <w:szCs w:val="16"/>
          <w:color w:val="auto"/>
        </w:rPr>
        <w:t>Certain amounts have been reclassified from the prior year presentation to conform to the current year presentation.</w:t>
      </w:r>
    </w:p>
    <w:p>
      <w:pPr>
        <w:spacing w:after="0" w:line="200" w:lineRule="exact"/>
        <w:rPr>
          <w:sz w:val="20"/>
          <w:szCs w:val="20"/>
          <w:color w:val="auto"/>
        </w:rPr>
      </w:pPr>
    </w:p>
    <w:p>
      <w:pPr>
        <w:spacing w:after="0" w:line="206" w:lineRule="exact"/>
        <w:rPr>
          <w:sz w:val="20"/>
          <w:szCs w:val="20"/>
          <w:color w:val="auto"/>
        </w:rPr>
      </w:pPr>
    </w:p>
    <w:p>
      <w:pPr>
        <w:ind w:left="465" w:hanging="465"/>
        <w:spacing w:after="0"/>
        <w:tabs>
          <w:tab w:leader="none" w:pos="4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Restatement of 2002 Financial Statements and Additional Information for 2003:</w:t>
      </w:r>
    </w:p>
    <w:p>
      <w:pPr>
        <w:spacing w:after="0" w:line="228" w:lineRule="exact"/>
        <w:rPr>
          <w:sz w:val="20"/>
          <w:szCs w:val="20"/>
          <w:color w:val="auto"/>
        </w:rPr>
      </w:pPr>
    </w:p>
    <w:p>
      <w:pPr>
        <w:ind w:left="5" w:right="100" w:firstLine="286"/>
        <w:spacing w:after="0" w:line="252" w:lineRule="auto"/>
        <w:rPr>
          <w:sz w:val="20"/>
          <w:szCs w:val="20"/>
          <w:color w:val="auto"/>
        </w:rPr>
      </w:pPr>
      <w:r>
        <w:rPr>
          <w:rFonts w:ascii="Arial" w:cs="Arial" w:eastAsia="Arial" w:hAnsi="Arial"/>
          <w:sz w:val="16"/>
          <w:szCs w:val="16"/>
          <w:color w:val="auto"/>
        </w:rPr>
        <w:t>On March 11, 2004, LII announced that its unaudited earnings for 2003 previously reported on Form 8-K would be revised, and previously issued financial statements restated, subject to the completion of an inquiry being conducted by the Audit Committee of the Board of Directors related to the Canadian service centers in its Service Experts business segment. The cumulative financial impact of this inquiry totaled $7.0 million comprising an increase of $7.6 million over previously reported unaudited net income for 2003, and a reduction of $14.6 million in previously reported net income for fiscal 2002 and prior. The revision and restatement are described below. Additionally, the Company’s unaudited 2003 and 2002 quarterly financial information has</w:t>
      </w:r>
    </w:p>
    <w:p>
      <w:pPr>
        <w:spacing w:after="0" w:line="179"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5"/>
          </w:cols>
          <w:pgMar w:left="235" w:top="386"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900"/>
        <w:spacing w:after="0" w:line="264" w:lineRule="auto"/>
        <w:rPr>
          <w:sz w:val="20"/>
          <w:szCs w:val="20"/>
          <w:color w:val="auto"/>
        </w:rPr>
      </w:pPr>
      <w:r>
        <w:rPr>
          <w:rFonts w:ascii="Arial" w:cs="Arial" w:eastAsia="Arial" w:hAnsi="Arial"/>
          <w:sz w:val="16"/>
          <w:szCs w:val="16"/>
          <w:color w:val="auto"/>
        </w:rPr>
        <w:t>been restated to reflect adjustments to the Company’s previously reported financial information on Form 10-Q for the quarters ended March 31, 2003; June 30, 2003; and September 30, 2003.</w:t>
      </w:r>
    </w:p>
    <w:p>
      <w:pPr>
        <w:spacing w:after="0" w:line="192" w:lineRule="exact"/>
        <w:rPr>
          <w:sz w:val="20"/>
          <w:szCs w:val="20"/>
          <w:color w:val="auto"/>
        </w:rPr>
      </w:pPr>
    </w:p>
    <w:p>
      <w:pPr>
        <w:ind w:right="120" w:firstLine="286"/>
        <w:spacing w:after="0" w:line="297" w:lineRule="auto"/>
        <w:rPr>
          <w:sz w:val="20"/>
          <w:szCs w:val="20"/>
          <w:color w:val="auto"/>
        </w:rPr>
      </w:pPr>
      <w:r>
        <w:rPr>
          <w:rFonts w:ascii="Arial" w:cs="Arial" w:eastAsia="Arial" w:hAnsi="Arial"/>
          <w:sz w:val="14"/>
          <w:szCs w:val="14"/>
          <w:color w:val="auto"/>
        </w:rPr>
        <w:t>The Company identified adjustments that were required to be recorded, which reduced previously reported after-tax income by a total of $14.6 million, cumulative for the years 1999 through 2002. In addition, adjustments of $7.6 million increased previously released unaudited after-tax income in 2003. The impact on net income for the years ended December 31, 2002 and 2001 was $9.0 million and $1.0 million of additional expense, respectively. In addition, approximately $4.6 million of adjustments were identified for years prior to 2001. As the Consolidated Financial Statements for 2001 and prior years were not materially affected by these errors, no adjustments have been made to the Company’s fiscal 2001 or prior Consolidated Financial Statements. The impact for 2001 and prior years is included as an adjustment in the quarter ended March 31, 2002.</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has segregated the adjustments discussed above into the following categories:</w:t>
      </w:r>
    </w:p>
    <w:p>
      <w:pPr>
        <w:spacing w:after="0" w:line="192" w:lineRule="exact"/>
        <w:rPr>
          <w:sz w:val="20"/>
          <w:szCs w:val="20"/>
          <w:color w:val="auto"/>
        </w:rPr>
      </w:pPr>
    </w:p>
    <w:p>
      <w:pPr>
        <w:ind w:left="460" w:hanging="119"/>
        <w:spacing w:after="0" w:line="27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Service Experts </w:t>
      </w:r>
      <w:r>
        <w:rPr>
          <w:rFonts w:ascii="Arial" w:cs="Arial" w:eastAsia="Arial" w:hAnsi="Arial"/>
          <w:sz w:val="16"/>
          <w:szCs w:val="16"/>
          <w:color w:val="auto"/>
        </w:rPr>
        <w:t>— these adjustments arose from the internal inquiry by its Audit Committee into accounting irregularities within its Canadian service centers within its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Experts business segment. The adjustments increased (reduced) income as follows:</w:t>
      </w:r>
    </w:p>
    <w:p>
      <w:pPr>
        <w:spacing w:after="0" w:line="161" w:lineRule="exact"/>
        <w:rPr>
          <w:rFonts w:ascii="Arial" w:cs="Arial" w:eastAsia="Arial" w:hAnsi="Arial"/>
          <w:sz w:val="16"/>
          <w:szCs w:val="16"/>
          <w:color w:val="auto"/>
        </w:rPr>
      </w:pPr>
    </w:p>
    <w:p>
      <w:pPr>
        <w:ind w:left="680" w:right="660" w:hanging="112"/>
        <w:spacing w:after="0" w:line="336" w:lineRule="auto"/>
        <w:tabs>
          <w:tab w:leader="none" w:pos="6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Corrected treatment of purchase accounting items related to non-compete agreements, adjustments to purchase price, and other balances at the time of purchase of $(1.1) million and $(0.2) million in 2003 and 2002, respectively. The majority of these items impacted selling, general and administrative expense.</w:t>
      </w:r>
    </w:p>
    <w:p>
      <w:pPr>
        <w:spacing w:after="0" w:line="145" w:lineRule="exact"/>
        <w:rPr>
          <w:rFonts w:ascii="Arial" w:cs="Arial" w:eastAsia="Arial" w:hAnsi="Arial"/>
          <w:sz w:val="14"/>
          <w:szCs w:val="14"/>
          <w:color w:val="auto"/>
        </w:rPr>
      </w:pPr>
    </w:p>
    <w:p>
      <w:pPr>
        <w:ind w:left="680" w:right="40" w:hanging="112"/>
        <w:spacing w:after="0" w:line="310" w:lineRule="auto"/>
        <w:tabs>
          <w:tab w:leader="none" w:pos="6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Recording items in the proper period related to revenue recognition, bad debts, accrued expenses, cash and inter-company reconciliations and other related period adjustments of $6.1 million and $(9.3) million in 2003 and 2002, respectively. Of the $6.1 million, $2.2 million reduced net sales and $8.3 million primarily reduced selling, general and administrative expense. Of the $9.3 million, $1.2 million reduced net sales and $8.1 primarily increased selling, general and administrative expense.</w:t>
      </w:r>
    </w:p>
    <w:p>
      <w:pPr>
        <w:spacing w:after="0" w:line="163" w:lineRule="exact"/>
        <w:rPr>
          <w:rFonts w:ascii="Arial" w:cs="Arial" w:eastAsia="Arial" w:hAnsi="Arial"/>
          <w:sz w:val="14"/>
          <w:szCs w:val="14"/>
          <w:color w:val="auto"/>
        </w:rPr>
      </w:pPr>
    </w:p>
    <w:p>
      <w:pPr>
        <w:ind w:left="680" w:right="360" w:hanging="112"/>
        <w:spacing w:after="0" w:line="264" w:lineRule="auto"/>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Revaluations of the key judgment accounts related to warranty reserve and inventory allowances of $3.9 million and $(4.6) million in 2003 and 2002, respectively. The majority of these items impacted cost of goods sold.</w:t>
      </w:r>
    </w:p>
    <w:p>
      <w:pPr>
        <w:spacing w:after="0" w:line="191" w:lineRule="exact"/>
        <w:rPr>
          <w:rFonts w:ascii="Arial" w:cs="Arial" w:eastAsia="Arial" w:hAnsi="Arial"/>
          <w:sz w:val="16"/>
          <w:szCs w:val="16"/>
          <w:color w:val="auto"/>
        </w:rPr>
      </w:pPr>
    </w:p>
    <w:p>
      <w:pPr>
        <w:ind w:left="680" w:hanging="112"/>
        <w:spacing w:after="0"/>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Tax entries related to the above adjustments of $0.2 million and $(0.2) million in 2003 and 2002, respectively.</w:t>
      </w:r>
    </w:p>
    <w:p>
      <w:pPr>
        <w:spacing w:after="0" w:line="245" w:lineRule="exact"/>
        <w:rPr>
          <w:rFonts w:ascii="Arial" w:cs="Arial" w:eastAsia="Arial" w:hAnsi="Arial"/>
          <w:sz w:val="16"/>
          <w:szCs w:val="16"/>
          <w:color w:val="auto"/>
        </w:rPr>
      </w:pPr>
    </w:p>
    <w:p>
      <w:pPr>
        <w:ind w:left="680" w:right="120" w:hanging="112"/>
        <w:spacing w:after="0" w:line="256" w:lineRule="auto"/>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total impact on previously reported unaudited 2003 after-tax income for the Service Experts business segment is an increase of $9.1 million. The total cumulative impact on previously reported 2002 after-tax income for the Service Experts business segment is a reduction of $14.3 million, net of a favorable $1.3 million adjustment of Cumulative Effect of Accounting Change.</w:t>
      </w:r>
    </w:p>
    <w:p>
      <w:pPr>
        <w:spacing w:after="0" w:line="168" w:lineRule="exact"/>
        <w:rPr>
          <w:rFonts w:ascii="Arial" w:cs="Arial" w:eastAsia="Arial" w:hAnsi="Arial"/>
          <w:sz w:val="16"/>
          <w:szCs w:val="16"/>
          <w:color w:val="auto"/>
        </w:rPr>
      </w:pPr>
    </w:p>
    <w:p>
      <w:pPr>
        <w:ind w:left="460" w:hanging="119"/>
        <w:spacing w:after="0" w:line="315"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 xml:space="preserve">Non-Service Experts </w:t>
      </w:r>
      <w:r>
        <w:rPr>
          <w:rFonts w:ascii="Arial" w:cs="Arial" w:eastAsia="Arial" w:hAnsi="Arial"/>
          <w:sz w:val="14"/>
          <w:szCs w:val="14"/>
          <w:color w:val="auto"/>
        </w:rPr>
        <w:t>— these adjustments were identified during the review of the financial statements performed by the Company, and include revisions primarily to selling,</w:t>
      </w:r>
      <w:r>
        <w:rPr>
          <w:rFonts w:ascii="Arial" w:cs="Arial" w:eastAsia="Arial" w:hAnsi="Arial"/>
          <w:sz w:val="14"/>
          <w:szCs w:val="14"/>
          <w:b w:val="1"/>
          <w:bCs w:val="1"/>
          <w:color w:val="auto"/>
        </w:rPr>
        <w:t xml:space="preserve"> </w:t>
      </w:r>
      <w:r>
        <w:rPr>
          <w:rFonts w:ascii="Arial" w:cs="Arial" w:eastAsia="Arial" w:hAnsi="Arial"/>
          <w:sz w:val="14"/>
          <w:szCs w:val="14"/>
          <w:color w:val="auto"/>
        </w:rPr>
        <w:t>general and administrative expense that relate to significant estimates, uncertainties and judgments, net of related tax effects. The total cumulative impact on previously reported after-tax income for the Non-Service Experts business segment is a reduction of $1.5 million and $0.3 million in 2003 and 2002, respectively.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right="640" w:firstLine="286"/>
        <w:spacing w:after="0" w:line="264" w:lineRule="auto"/>
        <w:rPr>
          <w:sz w:val="20"/>
          <w:szCs w:val="20"/>
          <w:color w:val="auto"/>
        </w:rPr>
      </w:pPr>
      <w:r>
        <w:rPr>
          <w:rFonts w:ascii="Arial" w:cs="Arial" w:eastAsia="Arial" w:hAnsi="Arial"/>
          <w:sz w:val="16"/>
          <w:szCs w:val="16"/>
          <w:color w:val="auto"/>
        </w:rPr>
        <w:t>A discussion of the Company’s detailed remedial actions is included in Item 9A “Controls and Procedures.” The effect of restatement on LII’s previously issued financial statements is presented in the table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w w:val="90"/>
              </w:rPr>
              <w:t>Adjustments included in 2002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4"/>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2001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w w:val="95"/>
              </w:rPr>
              <w:t>Pre-2001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10"/>
          </w:tcPr>
          <w:p>
            <w:pPr>
              <w:ind w:left="80"/>
              <w:spacing w:after="0"/>
              <w:rPr>
                <w:sz w:val="20"/>
                <w:szCs w:val="20"/>
                <w:color w:val="auto"/>
              </w:rPr>
            </w:pPr>
            <w:r>
              <w:rPr>
                <w:rFonts w:ascii="Arial" w:cs="Arial" w:eastAsia="Arial" w:hAnsi="Arial"/>
                <w:sz w:val="12"/>
                <w:szCs w:val="12"/>
                <w:b w:val="1"/>
                <w:bCs w:val="1"/>
                <w:color w:val="auto"/>
              </w:rPr>
              <w:t>(In millions, except per share)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 as originally released/reported</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$76.8</w:t>
            </w:r>
          </w:p>
        </w:tc>
        <w:tc>
          <w:tcPr>
            <w:tcW w:w="1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86"/>
              </w:rPr>
              <w:t>(190.4)</w:t>
            </w: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Adjustments (pre-tax):</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Service Experts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8.9</w:t>
            </w: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(14.1)</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$(8.0)</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$(1.1)</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right"/>
              <w:ind w:right="320"/>
              <w:spacing w:after="0"/>
              <w:rPr>
                <w:sz w:val="20"/>
                <w:szCs w:val="20"/>
                <w:color w:val="auto"/>
              </w:rPr>
            </w:pPr>
            <w:r>
              <w:rPr>
                <w:rFonts w:ascii="Arial" w:cs="Arial" w:eastAsia="Arial" w:hAnsi="Arial"/>
                <w:sz w:val="16"/>
                <w:szCs w:val="16"/>
                <w:color w:val="auto"/>
              </w:rPr>
              <w:t>$(5.0)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40" w:type="dxa"/>
            <w:vAlign w:val="bottom"/>
          </w:tcPr>
          <w:p>
            <w:pPr>
              <w:ind w:left="280"/>
              <w:spacing w:after="0"/>
              <w:rPr>
                <w:sz w:val="20"/>
                <w:szCs w:val="20"/>
                <w:color w:val="auto"/>
              </w:rPr>
            </w:pPr>
            <w:r>
              <w:rPr>
                <w:rFonts w:ascii="Arial" w:cs="Arial" w:eastAsia="Arial" w:hAnsi="Arial"/>
                <w:sz w:val="16"/>
                <w:szCs w:val="16"/>
                <w:color w:val="auto"/>
              </w:rPr>
              <w:t>Non-Service Experts</w:t>
            </w: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1080" w:type="dxa"/>
            <w:vAlign w:val="bottom"/>
            <w:gridSpan w:val="4"/>
          </w:tcPr>
          <w:p>
            <w:pPr>
              <w:jc w:val="right"/>
              <w:ind w:right="220"/>
              <w:spacing w:after="0"/>
              <w:rPr>
                <w:sz w:val="20"/>
                <w:szCs w:val="20"/>
                <w:color w:val="auto"/>
              </w:rPr>
            </w:pPr>
            <w:r>
              <w:rPr>
                <w:rFonts w:ascii="Arial" w:cs="Arial" w:eastAsia="Arial" w:hAnsi="Arial"/>
                <w:sz w:val="16"/>
                <w:szCs w:val="16"/>
                <w:color w:val="auto"/>
              </w:rPr>
              <w:t>(0.5)</w:t>
            </w:r>
          </w:p>
        </w:tc>
        <w:tc>
          <w:tcPr>
            <w:tcW w:w="1080" w:type="dxa"/>
            <w:vAlign w:val="bottom"/>
            <w:gridSpan w:val="4"/>
          </w:tcPr>
          <w:p>
            <w:pPr>
              <w:jc w:val="right"/>
              <w:ind w:right="220"/>
              <w:spacing w:after="0"/>
              <w:rPr>
                <w:sz w:val="20"/>
                <w:szCs w:val="20"/>
                <w:color w:val="auto"/>
              </w:rPr>
            </w:pPr>
            <w:r>
              <w:rPr>
                <w:rFonts w:ascii="Arial" w:cs="Arial" w:eastAsia="Arial" w:hAnsi="Arial"/>
                <w:sz w:val="16"/>
                <w:szCs w:val="16"/>
                <w:color w:val="auto"/>
              </w:rPr>
              <w:t>(0.2)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(0.8)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Total adjustments (pre-tax)</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(15.6)</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(8.5)</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(1.3)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right"/>
              <w:ind w:right="320"/>
              <w:spacing w:after="0"/>
              <w:rPr>
                <w:sz w:val="20"/>
                <w:szCs w:val="20"/>
                <w:color w:val="auto"/>
              </w:rPr>
            </w:pPr>
            <w:r>
              <w:rPr>
                <w:rFonts w:ascii="Arial" w:cs="Arial" w:eastAsia="Arial" w:hAnsi="Arial"/>
                <w:sz w:val="16"/>
                <w:szCs w:val="16"/>
                <w:color w:val="auto"/>
              </w:rPr>
              <w:t>(5.8)</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40" w:type="dxa"/>
            <w:vAlign w:val="bottom"/>
          </w:tcPr>
          <w:p>
            <w:pPr>
              <w:ind w:left="280"/>
              <w:spacing w:after="0"/>
              <w:rPr>
                <w:sz w:val="20"/>
                <w:szCs w:val="20"/>
                <w:color w:val="auto"/>
              </w:rPr>
            </w:pPr>
            <w:r>
              <w:rPr>
                <w:rFonts w:ascii="Arial" w:cs="Arial" w:eastAsia="Arial" w:hAnsi="Arial"/>
                <w:sz w:val="16"/>
                <w:szCs w:val="16"/>
                <w:color w:val="auto"/>
              </w:rPr>
              <w:t>Tax effect of restatement adjustments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1.0</w:t>
            </w:r>
          </w:p>
        </w:tc>
        <w:tc>
          <w:tcPr>
            <w:tcW w:w="1080" w:type="dxa"/>
            <w:vAlign w:val="bottom"/>
            <w:gridSpan w:val="4"/>
          </w:tcPr>
          <w:p>
            <w:pPr>
              <w:jc w:val="right"/>
              <w:ind w:right="220"/>
              <w:spacing w:after="0"/>
              <w:rPr>
                <w:sz w:val="20"/>
                <w:szCs w:val="20"/>
                <w:color w:val="auto"/>
              </w:rPr>
            </w:pPr>
            <w:r>
              <w:rPr>
                <w:rFonts w:ascii="Arial" w:cs="Arial" w:eastAsia="Arial" w:hAnsi="Arial"/>
                <w:sz w:val="16"/>
                <w:szCs w:val="16"/>
                <w:color w:val="auto"/>
              </w:rPr>
              <w:t>(0.5)</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Total net adjustments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(14.6)</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$(9.0)</w:t>
            </w:r>
          </w:p>
        </w:tc>
        <w:tc>
          <w:tcPr>
            <w:tcW w:w="108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$(1.0)</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right"/>
              <w:ind w:right="320"/>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4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400" w:type="dxa"/>
            <w:vAlign w:val="bottom"/>
            <w:gridSpan w:val="2"/>
          </w:tcPr>
          <w:p>
            <w:pPr>
              <w:ind w:left="560"/>
              <w:spacing w:after="0"/>
              <w:rPr>
                <w:sz w:val="20"/>
                <w:szCs w:val="20"/>
                <w:color w:val="auto"/>
              </w:rPr>
            </w:pPr>
            <w:r>
              <w:rPr>
                <w:rFonts w:ascii="Arial" w:cs="Arial" w:eastAsia="Arial" w:hAnsi="Arial"/>
                <w:sz w:val="16"/>
                <w:szCs w:val="16"/>
                <w:color w:val="auto"/>
              </w:rPr>
              <w:t>Net income (loss) as filed/restated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$84.4</w:t>
            </w: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(205.0)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Per Share of Common Stock:</w:t>
            </w:r>
          </w:p>
        </w:tc>
        <w:tc>
          <w:tcPr>
            <w:tcW w:w="2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Net income (loss) — Basic as originally released/reported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(3.32)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Effect of net adjustments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0.13</w:t>
            </w: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4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400" w:type="dxa"/>
            <w:vAlign w:val="bottom"/>
            <w:gridSpan w:val="2"/>
          </w:tcPr>
          <w:p>
            <w:pPr>
              <w:ind w:left="560"/>
              <w:spacing w:after="0"/>
              <w:rPr>
                <w:sz w:val="20"/>
                <w:szCs w:val="20"/>
                <w:color w:val="auto"/>
              </w:rPr>
            </w:pPr>
            <w:r>
              <w:rPr>
                <w:rFonts w:ascii="Arial" w:cs="Arial" w:eastAsia="Arial" w:hAnsi="Arial"/>
                <w:sz w:val="16"/>
                <w:szCs w:val="16"/>
                <w:color w:val="auto"/>
              </w:rPr>
              <w:t>Net income (loss) — Basic as filed/restated</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(3.58)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 — Diluted as originally released/reported</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(3.23)</w:t>
            </w: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Effect of net adjustments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0.12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(0.25)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 — Diluted as filed/restated</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(3.48)</w:t>
            </w:r>
          </w:p>
        </w:tc>
        <w:tc>
          <w:tcPr>
            <w:tcW w:w="2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48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right="100" w:firstLine="286"/>
        <w:spacing w:after="0" w:line="264" w:lineRule="auto"/>
        <w:rPr>
          <w:sz w:val="20"/>
          <w:szCs w:val="20"/>
          <w:color w:val="auto"/>
        </w:rPr>
      </w:pPr>
      <w:r>
        <w:rPr>
          <w:rFonts w:ascii="Arial" w:cs="Arial" w:eastAsia="Arial" w:hAnsi="Arial"/>
          <w:sz w:val="16"/>
          <w:szCs w:val="16"/>
          <w:color w:val="auto"/>
        </w:rPr>
        <w:t>The following table sets forth the effects of the restatement adjustments discussed above on the Consolidated Statement of Operations for the years ended December 31, 2003 and 2002.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2003</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12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88"/>
              </w:rPr>
              <w:t>As Previously</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As Previously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As</w:t>
            </w: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w w:val="83"/>
              </w:rPr>
              <w:t>Released</w:t>
            </w:r>
          </w:p>
        </w:tc>
        <w:tc>
          <w:tcPr>
            <w:tcW w:w="1160" w:type="dxa"/>
            <w:vAlign w:val="bottom"/>
            <w:gridSpan w:val="4"/>
          </w:tcPr>
          <w:p>
            <w:pPr>
              <w:jc w:val="right"/>
              <w:ind w:right="360"/>
              <w:spacing w:after="0"/>
              <w:rPr>
                <w:sz w:val="20"/>
                <w:szCs w:val="20"/>
                <w:color w:val="auto"/>
              </w:rPr>
            </w:pPr>
            <w:r>
              <w:rPr>
                <w:rFonts w:ascii="Arial" w:cs="Arial" w:eastAsia="Arial" w:hAnsi="Arial"/>
                <w:sz w:val="12"/>
                <w:szCs w:val="12"/>
                <w:b w:val="1"/>
                <w:bCs w:val="1"/>
                <w:color w:val="auto"/>
              </w:rPr>
              <w:t>As Filed</w:t>
            </w:r>
          </w:p>
        </w:tc>
        <w:tc>
          <w:tcPr>
            <w:tcW w:w="300" w:type="dxa"/>
            <w:vAlign w:val="bottom"/>
          </w:tcPr>
          <w:p>
            <w:pPr>
              <w:spacing w:after="0"/>
              <w:rPr>
                <w:sz w:val="13"/>
                <w:szCs w:val="13"/>
                <w:color w:val="auto"/>
              </w:rPr>
            </w:pPr>
          </w:p>
        </w:tc>
        <w:tc>
          <w:tcPr>
            <w:tcW w:w="1260" w:type="dxa"/>
            <w:vAlign w:val="bottom"/>
            <w:gridSpan w:val="4"/>
          </w:tcPr>
          <w:p>
            <w:pPr>
              <w:ind w:left="560"/>
              <w:spacing w:after="0"/>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6"/>
              </w:rPr>
              <w:t>Restated</w:t>
            </w:r>
          </w:p>
        </w:tc>
        <w:tc>
          <w:tcPr>
            <w:tcW w:w="0" w:type="dxa"/>
            <w:vAlign w:val="bottom"/>
          </w:tcPr>
          <w:p>
            <w:pPr>
              <w:spacing w:after="0"/>
              <w:rPr>
                <w:sz w:val="1"/>
                <w:szCs w:val="1"/>
                <w:color w:val="auto"/>
              </w:rPr>
            </w:pPr>
          </w:p>
        </w:tc>
      </w:tr>
      <w:tr>
        <w:trPr>
          <w:trHeight w:val="83"/>
        </w:trPr>
        <w:tc>
          <w:tcPr>
            <w:tcW w:w="512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2"/>
              </w:rPr>
              <w:t>(Unaudited)</w:t>
            </w:r>
          </w:p>
        </w:tc>
        <w:tc>
          <w:tcPr>
            <w:tcW w:w="400" w:type="dxa"/>
            <w:vAlign w:val="bottom"/>
          </w:tcPr>
          <w:p>
            <w:pPr>
              <w:spacing w:after="0"/>
              <w:rPr>
                <w:sz w:val="20"/>
                <w:szCs w:val="20"/>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w w:val="88"/>
              </w:rPr>
              <w:t>(In millions, except share data)</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620" w:type="dxa"/>
            <w:vAlign w:val="bottom"/>
            <w:shd w:val="clear" w:color="auto" w:fill="EEEEEE"/>
          </w:tcPr>
          <w:p>
            <w:pPr>
              <w:jc w:val="center"/>
              <w:ind w:left="46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2"/>
              </w:rPr>
              <w:t>3,087.3</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3,085.1</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ind w:left="84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3,025.8</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3,024.6</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color w:val="auto"/>
              </w:rPr>
              <w:t>COST OF GOODS SOLD</w:t>
            </w:r>
          </w:p>
        </w:tc>
        <w:tc>
          <w:tcPr>
            <w:tcW w:w="6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w w:val="82"/>
              </w:rPr>
              <w:t>2,064.9</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2,067.9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2,074.1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2,077.6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ind w:left="560"/>
              <w:spacing w:after="0"/>
              <w:rPr>
                <w:sz w:val="20"/>
                <w:szCs w:val="20"/>
                <w:color w:val="auto"/>
              </w:rPr>
            </w:pPr>
            <w:r>
              <w:rPr>
                <w:rFonts w:ascii="Arial" w:cs="Arial" w:eastAsia="Arial" w:hAnsi="Arial"/>
                <w:sz w:val="16"/>
                <w:szCs w:val="16"/>
                <w:color w:val="auto"/>
              </w:rPr>
              <w:t>Gross profit</w:t>
            </w:r>
          </w:p>
        </w:tc>
        <w:tc>
          <w:tcPr>
            <w:tcW w:w="6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82"/>
              </w:rPr>
              <w:t>1,022.4</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1,017.2</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951.7</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947.0</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20"/>
                <w:szCs w:val="20"/>
                <w:color w:val="auto"/>
              </w:rPr>
            </w:pPr>
            <w:r>
              <w:rPr>
                <w:rFonts w:ascii="Arial" w:cs="Arial" w:eastAsia="Arial" w:hAnsi="Arial"/>
                <w:sz w:val="16"/>
                <w:szCs w:val="16"/>
                <w:color w:val="auto"/>
              </w:rPr>
              <w:t>OPERATING EXPENSES:</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ind w:left="260"/>
              <w:spacing w:after="0"/>
              <w:rPr>
                <w:sz w:val="20"/>
                <w:szCs w:val="20"/>
                <w:color w:val="auto"/>
              </w:rPr>
            </w:pPr>
            <w:r>
              <w:rPr>
                <w:rFonts w:ascii="Arial" w:cs="Arial" w:eastAsia="Arial" w:hAnsi="Arial"/>
                <w:sz w:val="16"/>
                <w:szCs w:val="16"/>
                <w:color w:val="auto"/>
              </w:rPr>
              <w:t>Selling, general and administrative expense</w:t>
            </w:r>
          </w:p>
        </w:tc>
        <w:tc>
          <w:tcPr>
            <w:tcW w:w="6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870.6</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859.6</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826.2</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839.0</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tcPr>
          <w:p>
            <w:pPr>
              <w:ind w:left="260"/>
              <w:spacing w:after="0"/>
              <w:rPr>
                <w:sz w:val="20"/>
                <w:szCs w:val="20"/>
                <w:color w:val="auto"/>
              </w:rPr>
            </w:pPr>
            <w:r>
              <w:rPr>
                <w:rFonts w:ascii="Arial" w:cs="Arial" w:eastAsia="Arial" w:hAnsi="Arial"/>
                <w:sz w:val="16"/>
                <w:szCs w:val="16"/>
                <w:color w:val="auto"/>
              </w:rPr>
              <w:t>Restructurings</w:t>
            </w:r>
          </w:p>
        </w:tc>
        <w:tc>
          <w:tcPr>
            <w:tcW w:w="620" w:type="dxa"/>
            <w:vAlign w:val="bottom"/>
          </w:tcPr>
          <w:p>
            <w:pPr>
              <w:spacing w:after="0"/>
              <w:rPr>
                <w:sz w:val="16"/>
                <w:szCs w:val="16"/>
                <w:color w:val="auto"/>
              </w:rPr>
            </w:pPr>
          </w:p>
        </w:tc>
        <w:tc>
          <w:tcPr>
            <w:tcW w:w="1260" w:type="dxa"/>
            <w:vAlign w:val="bottom"/>
            <w:gridSpan w:val="4"/>
          </w:tcPr>
          <w:p>
            <w:pPr>
              <w:jc w:val="right"/>
              <w:ind w:right="8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ind w:left="260"/>
              <w:spacing w:after="0"/>
              <w:rPr>
                <w:sz w:val="20"/>
                <w:szCs w:val="20"/>
                <w:color w:val="auto"/>
              </w:rPr>
            </w:pPr>
            <w:r>
              <w:rPr>
                <w:rFonts w:ascii="Arial" w:cs="Arial" w:eastAsia="Arial" w:hAnsi="Arial"/>
                <w:sz w:val="16"/>
                <w:szCs w:val="16"/>
                <w:color w:val="auto"/>
              </w:rPr>
              <w:t>(Gains) Losses and other expenses</w:t>
            </w:r>
          </w:p>
        </w:tc>
        <w:tc>
          <w:tcPr>
            <w:tcW w:w="6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1.9</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64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(7.9)</w:t>
            </w: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120" w:type="dxa"/>
            <w:vAlign w:val="bottom"/>
          </w:tcPr>
          <w:p>
            <w:pPr>
              <w:ind w:left="560"/>
              <w:spacing w:after="0"/>
              <w:rPr>
                <w:sz w:val="20"/>
                <w:szCs w:val="20"/>
                <w:color w:val="auto"/>
              </w:rPr>
            </w:pPr>
            <w:r>
              <w:rPr>
                <w:rFonts w:ascii="Arial" w:cs="Arial" w:eastAsia="Arial" w:hAnsi="Arial"/>
                <w:sz w:val="16"/>
                <w:szCs w:val="16"/>
                <w:color w:val="auto"/>
              </w:rPr>
              <w:t>Income from operations</w:t>
            </w:r>
          </w:p>
        </w:tc>
        <w:tc>
          <w:tcPr>
            <w:tcW w:w="6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149.9</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155.7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125.6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108.1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120" w:type="dxa"/>
            <w:vAlign w:val="bottom"/>
            <w:shd w:val="clear" w:color="auto" w:fill="EEEEEE"/>
          </w:tcPr>
          <w:p>
            <w:pPr>
              <w:spacing w:after="0"/>
              <w:rPr>
                <w:sz w:val="20"/>
                <w:szCs w:val="20"/>
                <w:color w:val="auto"/>
              </w:rPr>
            </w:pPr>
            <w:r>
              <w:rPr>
                <w:rFonts w:ascii="Arial" w:cs="Arial" w:eastAsia="Arial" w:hAnsi="Arial"/>
                <w:sz w:val="16"/>
                <w:szCs w:val="16"/>
                <w:color w:val="auto"/>
              </w:rPr>
              <w:t>INTEREST EXPENSE, net</w:t>
            </w:r>
          </w:p>
        </w:tc>
        <w:tc>
          <w:tcPr>
            <w:tcW w:w="6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28.7</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28.5</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31.8</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31.8</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color w:val="auto"/>
              </w:rPr>
              <w:t>OTHER INCOME</w:t>
            </w:r>
          </w:p>
        </w:tc>
        <w:tc>
          <w:tcPr>
            <w:tcW w:w="620" w:type="dxa"/>
            <w:vAlign w:val="bottom"/>
          </w:tcPr>
          <w:p>
            <w:pPr>
              <w:spacing w:after="0"/>
              <w:rPr>
                <w:sz w:val="17"/>
                <w:szCs w:val="17"/>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EEEEEE"/>
          </w:tcPr>
          <w:p>
            <w:pPr>
              <w:ind w:left="560"/>
              <w:spacing w:after="0"/>
              <w:rPr>
                <w:sz w:val="20"/>
                <w:szCs w:val="20"/>
                <w:color w:val="auto"/>
              </w:rPr>
            </w:pPr>
            <w:r>
              <w:rPr>
                <w:rFonts w:ascii="Arial" w:cs="Arial" w:eastAsia="Arial" w:hAnsi="Arial"/>
                <w:sz w:val="16"/>
                <w:szCs w:val="16"/>
                <w:color w:val="auto"/>
              </w:rPr>
              <w:t>Income before income taxes and cumulative effect of</w:t>
            </w:r>
          </w:p>
        </w:tc>
        <w:tc>
          <w:tcPr>
            <w:tcW w:w="6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0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EEEEEE"/>
          </w:tcPr>
          <w:p>
            <w:pPr>
              <w:ind w:left="680"/>
              <w:spacing w:after="0"/>
              <w:rPr>
                <w:sz w:val="20"/>
                <w:szCs w:val="20"/>
                <w:color w:val="auto"/>
              </w:rPr>
            </w:pPr>
            <w:r>
              <w:rPr>
                <w:rFonts w:ascii="Arial" w:cs="Arial" w:eastAsia="Arial" w:hAnsi="Arial"/>
                <w:sz w:val="16"/>
                <w:szCs w:val="16"/>
                <w:color w:val="auto"/>
              </w:rPr>
              <w:t>accounting change</w:t>
            </w:r>
          </w:p>
        </w:tc>
        <w:tc>
          <w:tcPr>
            <w:tcW w:w="620" w:type="dxa"/>
            <w:vAlign w:val="bottom"/>
            <w:shd w:val="clear" w:color="auto" w:fill="EEEEEE"/>
          </w:tcPr>
          <w:p>
            <w:pPr>
              <w:spacing w:after="0"/>
              <w:rPr>
                <w:sz w:val="17"/>
                <w:szCs w:val="17"/>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123.7</w:t>
            </w: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129.7</w:t>
            </w: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94.7</w:t>
            </w: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77.1</w:t>
            </w: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62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46.9</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ind w:left="560"/>
              <w:spacing w:after="0"/>
              <w:rPr>
                <w:sz w:val="20"/>
                <w:szCs w:val="20"/>
                <w:color w:val="auto"/>
              </w:rPr>
            </w:pPr>
            <w:r>
              <w:rPr>
                <w:rFonts w:ascii="Arial" w:cs="Arial" w:eastAsia="Arial" w:hAnsi="Arial"/>
                <w:sz w:val="16"/>
                <w:szCs w:val="16"/>
                <w:color w:val="auto"/>
              </w:rPr>
              <w:t>Income before cumulative effect of accounting change</w:t>
            </w:r>
          </w:p>
        </w:tc>
        <w:tc>
          <w:tcPr>
            <w:tcW w:w="62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58.8</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42.9</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120" w:type="dxa"/>
            <w:vAlign w:val="bottom"/>
          </w:tcPr>
          <w:p>
            <w:pPr>
              <w:spacing w:after="0"/>
              <w:rPr>
                <w:sz w:val="20"/>
                <w:szCs w:val="20"/>
                <w:color w:val="auto"/>
              </w:rPr>
            </w:pPr>
            <w:r>
              <w:rPr>
                <w:rFonts w:ascii="Arial" w:cs="Arial" w:eastAsia="Arial" w:hAnsi="Arial"/>
                <w:sz w:val="16"/>
                <w:szCs w:val="16"/>
                <w:color w:val="auto"/>
              </w:rPr>
              <w:t>CUMULATIVE EFFECT OF ACCOUNTING CHANGE</w:t>
            </w:r>
          </w:p>
        </w:tc>
        <w:tc>
          <w:tcPr>
            <w:tcW w:w="620" w:type="dxa"/>
            <w:vAlign w:val="bottom"/>
          </w:tcPr>
          <w:p>
            <w:pPr>
              <w:spacing w:after="0"/>
              <w:rPr>
                <w:sz w:val="24"/>
                <w:szCs w:val="24"/>
                <w:color w:val="auto"/>
              </w:rPr>
            </w:pPr>
          </w:p>
        </w:tc>
        <w:tc>
          <w:tcPr>
            <w:tcW w:w="1260" w:type="dxa"/>
            <w:vAlign w:val="bottom"/>
            <w:gridSpan w:val="4"/>
          </w:tcPr>
          <w:p>
            <w:pPr>
              <w:jc w:val="right"/>
              <w:ind w:right="8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249.2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247.9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120" w:type="dxa"/>
            <w:vAlign w:val="bottom"/>
            <w:shd w:val="clear" w:color="auto" w:fill="EEEEEE"/>
          </w:tcPr>
          <w:p>
            <w:pPr>
              <w:ind w:left="560"/>
              <w:spacing w:after="0"/>
              <w:rPr>
                <w:sz w:val="20"/>
                <w:szCs w:val="20"/>
                <w:color w:val="auto"/>
              </w:rPr>
            </w:pPr>
            <w:r>
              <w:rPr>
                <w:rFonts w:ascii="Arial" w:cs="Arial" w:eastAsia="Arial" w:hAnsi="Arial"/>
                <w:sz w:val="16"/>
                <w:szCs w:val="16"/>
                <w:color w:val="auto"/>
              </w:rPr>
              <w:t>Net income (loss)</w:t>
            </w:r>
          </w:p>
        </w:tc>
        <w:tc>
          <w:tcPr>
            <w:tcW w:w="620" w:type="dxa"/>
            <w:vAlign w:val="bottom"/>
            <w:shd w:val="clear" w:color="auto" w:fill="EEEEEE"/>
          </w:tcPr>
          <w:p>
            <w:pPr>
              <w:jc w:val="center"/>
              <w:ind w:left="46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ind w:left="840"/>
              <w:spacing w:after="0"/>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w w:val="98"/>
              </w:rPr>
              <w:t>(190.4)</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w w:val="98"/>
              </w:rPr>
              <w:t>(205.0)</w:t>
            </w:r>
          </w:p>
        </w:tc>
        <w:tc>
          <w:tcPr>
            <w:tcW w:w="0" w:type="dxa"/>
            <w:vAlign w:val="bottom"/>
          </w:tcPr>
          <w:p>
            <w:pPr>
              <w:spacing w:after="0"/>
              <w:rPr>
                <w:sz w:val="1"/>
                <w:szCs w:val="1"/>
                <w:color w:val="auto"/>
              </w:rPr>
            </w:pPr>
          </w:p>
        </w:tc>
      </w:tr>
      <w:tr>
        <w:trPr>
          <w:trHeight w:val="127"/>
        </w:trPr>
        <w:tc>
          <w:tcPr>
            <w:tcW w:w="5120" w:type="dxa"/>
            <w:vAlign w:val="bottom"/>
            <w:vMerge w:val="restart"/>
          </w:tcPr>
          <w:p>
            <w:pPr>
              <w:spacing w:after="0"/>
              <w:rPr>
                <w:sz w:val="20"/>
                <w:szCs w:val="20"/>
                <w:color w:val="auto"/>
              </w:rPr>
            </w:pPr>
            <w:r>
              <w:rPr>
                <w:rFonts w:ascii="Arial" w:cs="Arial" w:eastAsia="Arial" w:hAnsi="Arial"/>
                <w:sz w:val="16"/>
                <w:szCs w:val="16"/>
                <w:color w:val="auto"/>
              </w:rPr>
              <w:t>NET INCOME (LOSS) PER SHARE:</w:t>
            </w:r>
          </w:p>
        </w:tc>
        <w:tc>
          <w:tcPr>
            <w:tcW w:w="6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51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20" w:type="dxa"/>
            <w:vAlign w:val="bottom"/>
            <w:shd w:val="clear" w:color="auto" w:fill="EEEEEE"/>
          </w:tcPr>
          <w:p>
            <w:pPr>
              <w:ind w:left="260"/>
              <w:spacing w:after="0"/>
              <w:rPr>
                <w:sz w:val="20"/>
                <w:szCs w:val="20"/>
                <w:color w:val="auto"/>
              </w:rPr>
            </w:pPr>
            <w:r>
              <w:rPr>
                <w:rFonts w:ascii="Arial" w:cs="Arial" w:eastAsia="Arial" w:hAnsi="Arial"/>
                <w:sz w:val="16"/>
                <w:szCs w:val="16"/>
                <w:color w:val="auto"/>
              </w:rPr>
              <w:t>Basic</w:t>
            </w:r>
          </w:p>
        </w:tc>
        <w:tc>
          <w:tcPr>
            <w:tcW w:w="620" w:type="dxa"/>
            <w:vAlign w:val="bottom"/>
            <w:shd w:val="clear" w:color="auto" w:fill="EEEEEE"/>
          </w:tcPr>
          <w:p>
            <w:pPr>
              <w:jc w:val="center"/>
              <w:ind w:left="46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1.32</w:t>
            </w:r>
          </w:p>
        </w:tc>
        <w:tc>
          <w:tcPr>
            <w:tcW w:w="5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1.45</w:t>
            </w:r>
          </w:p>
        </w:tc>
        <w:tc>
          <w:tcPr>
            <w:tcW w:w="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ind w:left="840"/>
              <w:spacing w:after="0"/>
              <w:rPr>
                <w:sz w:val="20"/>
                <w:szCs w:val="20"/>
                <w:color w:val="auto"/>
              </w:rPr>
            </w:pPr>
            <w:r>
              <w:rPr>
                <w:rFonts w:ascii="Arial" w:cs="Arial" w:eastAsia="Arial" w:hAnsi="Arial"/>
                <w:sz w:val="14"/>
                <w:szCs w:val="14"/>
                <w:color w:val="auto"/>
                <w:w w:val="76"/>
              </w:rPr>
              <w:t>$</w:t>
            </w:r>
          </w:p>
        </w:tc>
        <w:tc>
          <w:tcPr>
            <w:tcW w:w="64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(3.32)</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96"/>
        </w:trPr>
        <w:tc>
          <w:tcPr>
            <w:tcW w:w="5120" w:type="dxa"/>
            <w:vAlign w:val="bottom"/>
          </w:tcPr>
          <w:p>
            <w:pPr>
              <w:ind w:left="260"/>
              <w:spacing w:after="0"/>
              <w:rPr>
                <w:sz w:val="20"/>
                <w:szCs w:val="20"/>
                <w:color w:val="auto"/>
              </w:rPr>
            </w:pPr>
            <w:r>
              <w:rPr>
                <w:rFonts w:ascii="Arial" w:cs="Arial" w:eastAsia="Arial" w:hAnsi="Arial"/>
                <w:sz w:val="16"/>
                <w:szCs w:val="16"/>
                <w:color w:val="auto"/>
              </w:rPr>
              <w:t>Diluted</w:t>
            </w:r>
          </w:p>
        </w:tc>
        <w:tc>
          <w:tcPr>
            <w:tcW w:w="620" w:type="dxa"/>
            <w:vAlign w:val="bottom"/>
          </w:tcPr>
          <w:p>
            <w:pPr>
              <w:jc w:val="center"/>
              <w:ind w:left="46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1.28</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ind w:left="840"/>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120"/>
              <w:spacing w:after="0"/>
              <w:rPr>
                <w:sz w:val="20"/>
                <w:szCs w:val="20"/>
                <w:color w:val="auto"/>
              </w:rPr>
            </w:pPr>
            <w:r>
              <w:rPr>
                <w:rFonts w:ascii="Arial" w:cs="Arial" w:eastAsia="Arial" w:hAnsi="Arial"/>
                <w:sz w:val="16"/>
                <w:szCs w:val="16"/>
                <w:color w:val="auto"/>
              </w:rPr>
              <w:t>(3.23)</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75"/>
        </w:trPr>
        <w:tc>
          <w:tcPr>
            <w:tcW w:w="5120" w:type="dxa"/>
            <w:vAlign w:val="bottom"/>
          </w:tcPr>
          <w:p>
            <w:pPr>
              <w:spacing w:after="0"/>
              <w:rPr>
                <w:sz w:val="24"/>
                <w:szCs w:val="24"/>
                <w:color w:val="auto"/>
              </w:rPr>
            </w:pPr>
          </w:p>
        </w:tc>
        <w:tc>
          <w:tcPr>
            <w:tcW w:w="1080" w:type="dxa"/>
            <w:vAlign w:val="bottom"/>
            <w:gridSpan w:val="2"/>
          </w:tcPr>
          <w:p>
            <w:pPr>
              <w:jc w:val="center"/>
              <w:ind w:left="49"/>
              <w:spacing w:after="0"/>
              <w:rPr>
                <w:sz w:val="20"/>
                <w:szCs w:val="20"/>
                <w:color w:val="auto"/>
              </w:rPr>
            </w:pPr>
            <w:r>
              <w:rPr>
                <w:rFonts w:ascii="Arial" w:cs="Arial" w:eastAsia="Arial" w:hAnsi="Arial"/>
                <w:sz w:val="16"/>
                <w:szCs w:val="16"/>
                <w:color w:val="auto"/>
                <w:w w:val="89"/>
              </w:rPr>
              <w:t>48</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-837565</wp:posOffset>
            </wp:positionV>
            <wp:extent cx="1270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3644900</wp:posOffset>
            </wp:positionH>
            <wp:positionV relativeFrom="paragraph">
              <wp:posOffset>-837565</wp:posOffset>
            </wp:positionV>
            <wp:extent cx="12700"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-837565</wp:posOffset>
            </wp:positionV>
            <wp:extent cx="12700"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-837565</wp:posOffset>
            </wp:positionV>
            <wp:extent cx="1270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-837565</wp:posOffset>
            </wp:positionV>
            <wp:extent cx="12700"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-837565</wp:posOffset>
            </wp:positionV>
            <wp:extent cx="1270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-837565</wp:posOffset>
            </wp:positionV>
            <wp:extent cx="12700"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6772275</wp:posOffset>
            </wp:positionH>
            <wp:positionV relativeFrom="paragraph">
              <wp:posOffset>-837565</wp:posOffset>
            </wp:positionV>
            <wp:extent cx="12700"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sets forth the effects of the restatement adjustments discussed above on the Consolidated Balance Sheets at December 31, 2003 and 2002.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2003</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4"/>
          </w:tcPr>
          <w:p>
            <w:pPr>
              <w:jc w:val="center"/>
              <w:ind w:left="276"/>
              <w:spacing w:after="0"/>
              <w:rPr>
                <w:sz w:val="20"/>
                <w:szCs w:val="20"/>
                <w:color w:val="auto"/>
              </w:rPr>
            </w:pPr>
            <w:r>
              <w:rPr>
                <w:rFonts w:ascii="Arial" w:cs="Arial" w:eastAsia="Arial" w:hAnsi="Arial"/>
                <w:sz w:val="12"/>
                <w:szCs w:val="12"/>
                <w:b w:val="1"/>
                <w:bCs w:val="1"/>
                <w:color w:val="auto"/>
                <w:w w:val="88"/>
              </w:rPr>
              <w:t>As Previously</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ind w:left="460"/>
              <w:spacing w:after="0"/>
              <w:rPr>
                <w:sz w:val="20"/>
                <w:szCs w:val="20"/>
                <w:color w:val="auto"/>
              </w:rPr>
            </w:pPr>
            <w:r>
              <w:rPr>
                <w:rFonts w:ascii="Arial" w:cs="Arial" w:eastAsia="Arial" w:hAnsi="Arial"/>
                <w:sz w:val="12"/>
                <w:szCs w:val="12"/>
                <w:b w:val="1"/>
                <w:bCs w:val="1"/>
                <w:color w:val="auto"/>
                <w:w w:val="98"/>
              </w:rPr>
              <w:t>As Previously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7"/>
              </w:rPr>
              <w:t>As</w:t>
            </w: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gridSpan w:val="4"/>
          </w:tcPr>
          <w:p>
            <w:pPr>
              <w:jc w:val="center"/>
              <w:ind w:left="276"/>
              <w:spacing w:after="0"/>
              <w:rPr>
                <w:sz w:val="20"/>
                <w:szCs w:val="20"/>
                <w:color w:val="auto"/>
              </w:rPr>
            </w:pPr>
            <w:r>
              <w:rPr>
                <w:rFonts w:ascii="Arial" w:cs="Arial" w:eastAsia="Arial" w:hAnsi="Arial"/>
                <w:sz w:val="12"/>
                <w:szCs w:val="12"/>
                <w:b w:val="1"/>
                <w:bCs w:val="1"/>
                <w:color w:val="auto"/>
                <w:w w:val="87"/>
              </w:rPr>
              <w:t>Released</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tcPr>
          <w:p>
            <w:pPr>
              <w:ind w:left="360"/>
              <w:spacing w:after="0"/>
              <w:rPr>
                <w:sz w:val="20"/>
                <w:szCs w:val="20"/>
                <w:color w:val="auto"/>
              </w:rPr>
            </w:pPr>
            <w:r>
              <w:rPr>
                <w:rFonts w:ascii="Arial" w:cs="Arial" w:eastAsia="Arial" w:hAnsi="Arial"/>
                <w:sz w:val="12"/>
                <w:szCs w:val="12"/>
                <w:b w:val="1"/>
                <w:bCs w:val="1"/>
                <w:color w:val="auto"/>
              </w:rPr>
              <w:t>As Filed</w:t>
            </w:r>
          </w:p>
        </w:tc>
        <w:tc>
          <w:tcPr>
            <w:tcW w:w="280" w:type="dxa"/>
            <w:vAlign w:val="bottom"/>
          </w:tcPr>
          <w:p>
            <w:pPr>
              <w:spacing w:after="0"/>
              <w:rPr>
                <w:sz w:val="13"/>
                <w:szCs w:val="13"/>
                <w:color w:val="auto"/>
              </w:rPr>
            </w:pPr>
          </w:p>
        </w:tc>
        <w:tc>
          <w:tcPr>
            <w:tcW w:w="1260" w:type="dxa"/>
            <w:vAlign w:val="bottom"/>
            <w:gridSpan w:val="3"/>
          </w:tcPr>
          <w:p>
            <w:pPr>
              <w:ind w:left="580"/>
              <w:spacing w:after="0"/>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Restated</w:t>
            </w:r>
          </w:p>
        </w:tc>
        <w:tc>
          <w:tcPr>
            <w:tcW w:w="0" w:type="dxa"/>
            <w:vAlign w:val="bottom"/>
          </w:tcPr>
          <w:p>
            <w:pPr>
              <w:spacing w:after="0"/>
              <w:rPr>
                <w:sz w:val="1"/>
                <w:szCs w:val="1"/>
                <w:color w:val="auto"/>
              </w:rPr>
            </w:pPr>
          </w:p>
        </w:tc>
      </w:tr>
      <w:tr>
        <w:trPr>
          <w:trHeight w:val="83"/>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gridSpan w:val="4"/>
          </w:tcPr>
          <w:p>
            <w:pPr>
              <w:jc w:val="center"/>
              <w:ind w:left="276"/>
              <w:spacing w:after="0"/>
              <w:rPr>
                <w:sz w:val="20"/>
                <w:szCs w:val="20"/>
                <w:color w:val="auto"/>
              </w:rPr>
            </w:pPr>
            <w:r>
              <w:rPr>
                <w:rFonts w:ascii="Arial" w:cs="Arial" w:eastAsia="Arial" w:hAnsi="Arial"/>
                <w:sz w:val="12"/>
                <w:szCs w:val="12"/>
                <w:b w:val="1"/>
                <w:bCs w:val="1"/>
                <w:color w:val="auto"/>
                <w:w w:val="92"/>
              </w:rPr>
              <w:t>(Unaudited)</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0"/>
              </w:rPr>
              <w:t>(In millions, except share data)</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center"/>
              <w:ind w:right="140"/>
              <w:spacing w:after="0"/>
              <w:rPr>
                <w:sz w:val="20"/>
                <w:szCs w:val="20"/>
                <w:color w:val="auto"/>
              </w:rPr>
            </w:pPr>
            <w:r>
              <w:rPr>
                <w:rFonts w:ascii="Arial" w:cs="Arial" w:eastAsia="Arial" w:hAnsi="Arial"/>
                <w:sz w:val="16"/>
                <w:szCs w:val="16"/>
                <w:b w:val="1"/>
                <w:bCs w:val="1"/>
                <w:color w:val="auto"/>
                <w:w w:val="90"/>
              </w:rPr>
              <w:t>ASSETS</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20"/>
                <w:szCs w:val="20"/>
                <w:color w:val="auto"/>
              </w:rPr>
            </w:pPr>
            <w:r>
              <w:rPr>
                <w:rFonts w:ascii="Arial" w:cs="Arial" w:eastAsia="Arial" w:hAnsi="Arial"/>
                <w:sz w:val="16"/>
                <w:szCs w:val="16"/>
                <w:color w:val="auto"/>
              </w:rPr>
              <w:t>CURRENT ASSETS:</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Cash and cash equivalents</w:t>
            </w:r>
          </w:p>
        </w:tc>
        <w:tc>
          <w:tcPr>
            <w:tcW w:w="1780" w:type="dxa"/>
            <w:vAlign w:val="bottom"/>
            <w:gridSpan w:val="3"/>
            <w:shd w:val="clear" w:color="auto" w:fill="EEEEEE"/>
          </w:tcPr>
          <w:p>
            <w:pPr>
              <w:jc w:val="center"/>
              <w:ind w:left="1605"/>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76.9</w:t>
            </w:r>
          </w:p>
        </w:tc>
        <w:tc>
          <w:tcPr>
            <w:tcW w:w="180" w:type="dxa"/>
            <w:vAlign w:val="bottom"/>
            <w:shd w:val="clear" w:color="auto" w:fill="EEEEEE"/>
          </w:tcPr>
          <w:p>
            <w:pPr>
              <w:spacing w:after="0"/>
              <w:rPr>
                <w:sz w:val="16"/>
                <w:szCs w:val="16"/>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76.1</w:t>
            </w:r>
          </w:p>
        </w:tc>
        <w:tc>
          <w:tcPr>
            <w:tcW w:w="2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ind w:left="84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76.4</w:t>
            </w:r>
          </w:p>
        </w:tc>
        <w:tc>
          <w:tcPr>
            <w:tcW w:w="16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74.4</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80"/>
              <w:spacing w:after="0"/>
              <w:rPr>
                <w:sz w:val="20"/>
                <w:szCs w:val="20"/>
                <w:color w:val="auto"/>
              </w:rPr>
            </w:pPr>
            <w:r>
              <w:rPr>
                <w:rFonts w:ascii="Arial" w:cs="Arial" w:eastAsia="Arial" w:hAnsi="Arial"/>
                <w:sz w:val="16"/>
                <w:szCs w:val="16"/>
                <w:color w:val="auto"/>
              </w:rPr>
              <w:t>Accounts and notes receivable, net</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465.7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463.4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307.3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304.6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Inventories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230.4</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226.6</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219.7</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214.6</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Other assets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46.0</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38.4</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37.5</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0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850.4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845.5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675.1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665.1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PROPERTY, PLANT AND EQUIPMENT, net</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234.4</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234.6</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231.0</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231.4</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20"/>
                <w:szCs w:val="20"/>
                <w:color w:val="auto"/>
              </w:rPr>
            </w:pPr>
            <w:r>
              <w:rPr>
                <w:rFonts w:ascii="Arial" w:cs="Arial" w:eastAsia="Arial" w:hAnsi="Arial"/>
                <w:sz w:val="16"/>
                <w:szCs w:val="16"/>
                <w:color w:val="auto"/>
              </w:rPr>
              <w:t>GOODWILL, net</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449.4</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447.3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420.8</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420.7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DEFERRED INCOME TAXES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59.5</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59.8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74.4</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74.5</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OTHER ASSETS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139.4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139.4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112.1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115.9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ASSETS</w:t>
            </w:r>
          </w:p>
        </w:tc>
        <w:tc>
          <w:tcPr>
            <w:tcW w:w="22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$1,733.1</w:t>
            </w:r>
          </w:p>
        </w:tc>
        <w:tc>
          <w:tcPr>
            <w:tcW w:w="180" w:type="dxa"/>
            <w:vAlign w:val="bottom"/>
            <w:shd w:val="clear" w:color="auto" w:fill="EEEEEE"/>
          </w:tcPr>
          <w:p>
            <w:pPr>
              <w:spacing w:after="0"/>
              <w:rPr>
                <w:sz w:val="16"/>
                <w:szCs w:val="16"/>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1,726.6</w:t>
            </w:r>
          </w:p>
        </w:tc>
        <w:tc>
          <w:tcPr>
            <w:tcW w:w="280" w:type="dxa"/>
            <w:vAlign w:val="bottom"/>
            <w:shd w:val="clear" w:color="auto" w:fill="EEEEEE"/>
          </w:tcPr>
          <w:p>
            <w:pPr>
              <w:spacing w:after="0"/>
              <w:rPr>
                <w:sz w:val="16"/>
                <w:szCs w:val="16"/>
                <w:color w:val="auto"/>
              </w:rPr>
            </w:pPr>
          </w:p>
        </w:tc>
        <w:tc>
          <w:tcPr>
            <w:tcW w:w="920" w:type="dxa"/>
            <w:vAlign w:val="bottom"/>
            <w:gridSpan w:val="2"/>
            <w:shd w:val="clear" w:color="auto" w:fill="EEEEEE"/>
          </w:tcPr>
          <w:p>
            <w:pPr>
              <w:ind w:left="84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2"/>
              </w:rPr>
              <w:t>1,513.4</w:t>
            </w:r>
          </w:p>
        </w:tc>
        <w:tc>
          <w:tcPr>
            <w:tcW w:w="16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6"/>
              </w:rPr>
              <w:t>1,507.6</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1760" w:type="dxa"/>
            <w:vAlign w:val="bottom"/>
            <w:gridSpan w:val="2"/>
          </w:tcPr>
          <w:p>
            <w:pPr>
              <w:spacing w:after="0"/>
              <w:rPr>
                <w:sz w:val="11"/>
                <w:szCs w:val="11"/>
                <w:color w:val="auto"/>
              </w:rPr>
            </w:pPr>
          </w:p>
        </w:tc>
        <w:tc>
          <w:tcPr>
            <w:tcW w:w="480" w:type="dxa"/>
            <w:vAlign w:val="bottom"/>
            <w:tcBorders>
              <w:bottom w:val="single" w:sz="8" w:color="808080"/>
            </w:tcBorders>
            <w:gridSpan w:val="2"/>
          </w:tcPr>
          <w:p>
            <w:pPr>
              <w:spacing w:after="0"/>
              <w:rPr>
                <w:sz w:val="11"/>
                <w:szCs w:val="11"/>
                <w:color w:val="auto"/>
              </w:rPr>
            </w:pPr>
          </w:p>
        </w:tc>
        <w:tc>
          <w:tcPr>
            <w:tcW w:w="1180" w:type="dxa"/>
            <w:vAlign w:val="bottom"/>
            <w:gridSpan w:val="4"/>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4000" w:type="dxa"/>
            <w:vAlign w:val="bottom"/>
          </w:tcPr>
          <w:p>
            <w:pPr>
              <w:spacing w:after="0"/>
              <w:rPr>
                <w:sz w:val="24"/>
                <w:szCs w:val="24"/>
                <w:color w:val="auto"/>
              </w:rPr>
            </w:pPr>
          </w:p>
        </w:tc>
        <w:tc>
          <w:tcPr>
            <w:tcW w:w="3420" w:type="dxa"/>
            <w:vAlign w:val="bottom"/>
            <w:gridSpan w:val="8"/>
          </w:tcPr>
          <w:p>
            <w:pPr>
              <w:jc w:val="center"/>
              <w:spacing w:after="0"/>
              <w:rPr>
                <w:sz w:val="20"/>
                <w:szCs w:val="20"/>
                <w:color w:val="auto"/>
              </w:rPr>
            </w:pPr>
            <w:r>
              <w:rPr>
                <w:rFonts w:ascii="Arial" w:cs="Arial" w:eastAsia="Arial" w:hAnsi="Arial"/>
                <w:sz w:val="16"/>
                <w:szCs w:val="16"/>
                <w:b w:val="1"/>
                <w:bCs w:val="1"/>
                <w:color w:val="auto"/>
                <w:w w:val="99"/>
              </w:rPr>
              <w:t>LIABILITIES AND STOCKHOLDERS’ EQUITY</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CURRENT LIABILITIES: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1780" w:type="dxa"/>
            <w:vAlign w:val="bottom"/>
            <w:gridSpan w:val="3"/>
          </w:tcPr>
          <w:p>
            <w:pPr>
              <w:jc w:val="center"/>
              <w:ind w:left="1605"/>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920" w:type="dxa"/>
            <w:vAlign w:val="bottom"/>
            <w:gridSpan w:val="2"/>
          </w:tcPr>
          <w:p>
            <w:pPr>
              <w:ind w:left="84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Current maturities of long-term debt</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21.4</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13.9</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260.6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262.9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247.6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250.7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Accrued expenses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289.0</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292.1</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253.9</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257.1</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current liabilities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612.7</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615.3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537.5</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543.6</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20"/>
                <w:szCs w:val="20"/>
                <w:color w:val="auto"/>
              </w:rPr>
            </w:pPr>
            <w:r>
              <w:rPr>
                <w:rFonts w:ascii="Arial" w:cs="Arial" w:eastAsia="Arial" w:hAnsi="Arial"/>
                <w:sz w:val="16"/>
                <w:szCs w:val="16"/>
                <w:color w:val="auto"/>
              </w:rPr>
              <w:t>LONG-TERM DEBT</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337.3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337.3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356.7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356.7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w w:val="92"/>
              </w:rPr>
              <w:t>POSTRETIREMENT BENEFITS, OTHER THAN PENSIONS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13.5</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20"/>
                <w:szCs w:val="20"/>
                <w:color w:val="auto"/>
              </w:rPr>
            </w:pPr>
            <w:r>
              <w:rPr>
                <w:rFonts w:ascii="Arial" w:cs="Arial" w:eastAsia="Arial" w:hAnsi="Arial"/>
                <w:sz w:val="16"/>
                <w:szCs w:val="16"/>
                <w:color w:val="auto"/>
              </w:rPr>
              <w:t>PENSIONS</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94.1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85.4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EEEEEE"/>
          </w:tcPr>
          <w:p>
            <w:pPr>
              <w:spacing w:after="0"/>
              <w:rPr>
                <w:sz w:val="20"/>
                <w:szCs w:val="20"/>
                <w:color w:val="auto"/>
              </w:rPr>
            </w:pPr>
            <w:r>
              <w:rPr>
                <w:rFonts w:ascii="Arial" w:cs="Arial" w:eastAsia="Arial" w:hAnsi="Arial"/>
                <w:sz w:val="16"/>
                <w:szCs w:val="16"/>
                <w:color w:val="auto"/>
              </w:rPr>
              <w:t>OTHER LIABILITIES</w:t>
            </w:r>
          </w:p>
        </w:tc>
        <w:tc>
          <w:tcPr>
            <w:tcW w:w="1140" w:type="dxa"/>
            <w:vAlign w:val="bottom"/>
            <w:shd w:val="clear" w:color="auto" w:fill="EEEEEE"/>
          </w:tcPr>
          <w:p>
            <w:pPr>
              <w:spacing w:after="0"/>
              <w:rPr>
                <w:sz w:val="16"/>
                <w:szCs w:val="16"/>
                <w:color w:val="auto"/>
              </w:rPr>
            </w:pPr>
          </w:p>
        </w:tc>
        <w:tc>
          <w:tcPr>
            <w:tcW w:w="6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79.4</w:t>
            </w:r>
          </w:p>
        </w:tc>
        <w:tc>
          <w:tcPr>
            <w:tcW w:w="1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81.9</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75.8</w:t>
            </w: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78.1</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00" w:type="dxa"/>
            <w:vAlign w:val="bottom"/>
          </w:tcPr>
          <w:p>
            <w:pPr>
              <w:ind w:left="560"/>
              <w:spacing w:after="0"/>
              <w:rPr>
                <w:sz w:val="20"/>
                <w:szCs w:val="20"/>
                <w:color w:val="auto"/>
              </w:rPr>
            </w:pPr>
            <w:r>
              <w:rPr>
                <w:rFonts w:ascii="Arial" w:cs="Arial" w:eastAsia="Arial" w:hAnsi="Arial"/>
                <w:sz w:val="16"/>
                <w:szCs w:val="16"/>
                <w:color w:val="auto"/>
              </w:rPr>
              <w:t>Total liabilities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1,137.3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1,142.4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2"/>
              </w:rPr>
              <w:t>1,068.9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6"/>
              </w:rPr>
              <w:t>1,077.3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00" w:type="dxa"/>
            <w:vAlign w:val="bottom"/>
          </w:tcPr>
          <w:p>
            <w:pPr>
              <w:spacing w:after="0"/>
              <w:rPr>
                <w:sz w:val="8"/>
                <w:szCs w:val="8"/>
                <w:color w:val="auto"/>
              </w:rPr>
            </w:pPr>
          </w:p>
        </w:tc>
        <w:tc>
          <w:tcPr>
            <w:tcW w:w="1780" w:type="dxa"/>
            <w:vAlign w:val="bottom"/>
            <w:gridSpan w:val="3"/>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7"/>
        </w:trPr>
        <w:tc>
          <w:tcPr>
            <w:tcW w:w="4000" w:type="dxa"/>
            <w:vAlign w:val="bottom"/>
          </w:tcPr>
          <w:p>
            <w:pPr>
              <w:spacing w:after="0"/>
              <w:rPr>
                <w:sz w:val="24"/>
                <w:szCs w:val="24"/>
                <w:color w:val="auto"/>
              </w:rPr>
            </w:pPr>
          </w:p>
        </w:tc>
        <w:tc>
          <w:tcPr>
            <w:tcW w:w="2240" w:type="dxa"/>
            <w:vAlign w:val="bottom"/>
            <w:gridSpan w:val="4"/>
          </w:tcPr>
          <w:p>
            <w:pPr>
              <w:jc w:val="center"/>
              <w:ind w:left="1125"/>
              <w:spacing w:after="0"/>
              <w:rPr>
                <w:sz w:val="20"/>
                <w:szCs w:val="20"/>
                <w:color w:val="auto"/>
              </w:rPr>
            </w:pPr>
            <w:r>
              <w:rPr>
                <w:rFonts w:ascii="Arial" w:cs="Arial" w:eastAsia="Arial" w:hAnsi="Arial"/>
                <w:sz w:val="16"/>
                <w:szCs w:val="16"/>
                <w:color w:val="auto"/>
                <w:w w:val="89"/>
              </w:rPr>
              <w:t>49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-2435225</wp:posOffset>
            </wp:positionV>
            <wp:extent cx="1270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-2435225</wp:posOffset>
            </wp:positionV>
            <wp:extent cx="12700"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-2435225</wp:posOffset>
            </wp:positionV>
            <wp:extent cx="12700"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-2435225</wp:posOffset>
            </wp:positionV>
            <wp:extent cx="1270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-2435225</wp:posOffset>
            </wp:positionV>
            <wp:extent cx="12700"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-2435225</wp:posOffset>
            </wp:positionV>
            <wp:extent cx="12700"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-2435225</wp:posOffset>
            </wp:positionV>
            <wp:extent cx="12700"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6772275</wp:posOffset>
            </wp:positionH>
            <wp:positionV relativeFrom="paragraph">
              <wp:posOffset>-2435225</wp:posOffset>
            </wp:positionV>
            <wp:extent cx="1270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40" w:type="dxa"/>
            <w:vAlign w:val="bottom"/>
          </w:tcPr>
          <w:p>
            <w:pPr>
              <w:spacing w:after="0"/>
              <w:rPr>
                <w:sz w:val="13"/>
                <w:szCs w:val="13"/>
                <w:color w:val="auto"/>
              </w:rPr>
            </w:pPr>
          </w:p>
        </w:tc>
        <w:tc>
          <w:tcPr>
            <w:tcW w:w="188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2003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140" w:type="dxa"/>
            <w:vAlign w:val="bottom"/>
          </w:tcPr>
          <w:p>
            <w:pPr>
              <w:spacing w:after="0"/>
              <w:rPr>
                <w:sz w:val="18"/>
                <w:szCs w:val="18"/>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88"/>
              </w:rPr>
              <w:t>As Previously</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As Previously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As</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87"/>
              </w:rPr>
              <w:t>Released</w:t>
            </w:r>
          </w:p>
        </w:tc>
        <w:tc>
          <w:tcPr>
            <w:tcW w:w="116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As Filed</w:t>
            </w:r>
          </w:p>
        </w:tc>
        <w:tc>
          <w:tcPr>
            <w:tcW w:w="280" w:type="dxa"/>
            <w:vAlign w:val="bottom"/>
          </w:tcPr>
          <w:p>
            <w:pPr>
              <w:spacing w:after="0"/>
              <w:rPr>
                <w:sz w:val="13"/>
                <w:szCs w:val="13"/>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6"/>
              </w:rPr>
              <w:t>Restated</w:t>
            </w:r>
          </w:p>
        </w:tc>
        <w:tc>
          <w:tcPr>
            <w:tcW w:w="0" w:type="dxa"/>
            <w:vAlign w:val="bottom"/>
          </w:tcPr>
          <w:p>
            <w:pPr>
              <w:spacing w:after="0"/>
              <w:rPr>
                <w:sz w:val="1"/>
                <w:szCs w:val="1"/>
                <w:color w:val="auto"/>
              </w:rPr>
            </w:pPr>
          </w:p>
        </w:tc>
      </w:tr>
      <w:tr>
        <w:trPr>
          <w:trHeight w:val="83"/>
        </w:trPr>
        <w:tc>
          <w:tcPr>
            <w:tcW w:w="51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2"/>
                <w:szCs w:val="12"/>
                <w:b w:val="1"/>
                <w:bCs w:val="1"/>
                <w:color w:val="auto"/>
                <w:w w:val="92"/>
              </w:rPr>
              <w:t>(Unaudited)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gridSpan w:val="6"/>
            <w:vMerge w:val="restart"/>
          </w:tcPr>
          <w:p>
            <w:pPr>
              <w:jc w:val="right"/>
              <w:ind w:right="660"/>
              <w:spacing w:after="0"/>
              <w:rPr>
                <w:sz w:val="20"/>
                <w:szCs w:val="20"/>
                <w:color w:val="auto"/>
              </w:rPr>
            </w:pPr>
            <w:r>
              <w:rPr>
                <w:rFonts w:ascii="Arial" w:cs="Arial" w:eastAsia="Arial" w:hAnsi="Arial"/>
                <w:sz w:val="12"/>
                <w:szCs w:val="12"/>
                <w:b w:val="1"/>
                <w:bCs w:val="1"/>
                <w:color w:val="auto"/>
                <w:w w:val="92"/>
              </w:rPr>
              <w:t>(In millions, except share data)</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EEEEEE"/>
          </w:tcPr>
          <w:p>
            <w:pPr>
              <w:spacing w:after="0"/>
              <w:rPr>
                <w:sz w:val="20"/>
                <w:szCs w:val="20"/>
                <w:color w:val="auto"/>
              </w:rPr>
            </w:pPr>
            <w:r>
              <w:rPr>
                <w:rFonts w:ascii="Arial" w:cs="Arial" w:eastAsia="Arial" w:hAnsi="Arial"/>
                <w:sz w:val="16"/>
                <w:szCs w:val="16"/>
                <w:color w:val="auto"/>
              </w:rPr>
              <w:t>COMMITMENTS AND CONTINGENCIES</w:t>
            </w:r>
          </w:p>
        </w:tc>
        <w:tc>
          <w:tcPr>
            <w:tcW w:w="6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20"/>
                <w:szCs w:val="20"/>
                <w:color w:val="auto"/>
              </w:rPr>
            </w:pPr>
            <w:r>
              <w:rPr>
                <w:rFonts w:ascii="Arial" w:cs="Arial" w:eastAsia="Arial" w:hAnsi="Arial"/>
                <w:sz w:val="16"/>
                <w:szCs w:val="16"/>
                <w:color w:val="auto"/>
              </w:rPr>
              <w:t>STOCKHOLDERS’ EQUITY:</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40" w:type="dxa"/>
            <w:vAlign w:val="bottom"/>
            <w:shd w:val="clear" w:color="auto" w:fill="EEEEEE"/>
          </w:tcPr>
          <w:p>
            <w:pPr>
              <w:ind w:left="260"/>
              <w:spacing w:after="0"/>
              <w:rPr>
                <w:sz w:val="20"/>
                <w:szCs w:val="20"/>
                <w:color w:val="auto"/>
              </w:rPr>
            </w:pPr>
            <w:r>
              <w:rPr>
                <w:rFonts w:ascii="Arial" w:cs="Arial" w:eastAsia="Arial" w:hAnsi="Arial"/>
                <w:sz w:val="16"/>
                <w:szCs w:val="16"/>
                <w:color w:val="auto"/>
                <w:w w:val="93"/>
              </w:rPr>
              <w:t>Preferred stock, $.01 par value, 25,000,000 shares authorized, no shares</w:t>
            </w:r>
          </w:p>
        </w:tc>
        <w:tc>
          <w:tcPr>
            <w:tcW w:w="6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EEEEEE"/>
          </w:tcPr>
          <w:p>
            <w:pPr>
              <w:ind w:left="380"/>
              <w:spacing w:after="0"/>
              <w:rPr>
                <w:sz w:val="20"/>
                <w:szCs w:val="20"/>
                <w:color w:val="auto"/>
              </w:rPr>
            </w:pPr>
            <w:r>
              <w:rPr>
                <w:rFonts w:ascii="Arial" w:cs="Arial" w:eastAsia="Arial" w:hAnsi="Arial"/>
                <w:sz w:val="16"/>
                <w:szCs w:val="16"/>
                <w:color w:val="auto"/>
              </w:rPr>
              <w:t>issued or outstanding</w:t>
            </w:r>
          </w:p>
        </w:tc>
        <w:tc>
          <w:tcPr>
            <w:tcW w:w="620" w:type="dxa"/>
            <w:vAlign w:val="bottom"/>
            <w:shd w:val="clear" w:color="auto" w:fill="EEEEEE"/>
          </w:tcPr>
          <w:p>
            <w:pPr>
              <w:spacing w:after="0"/>
              <w:rPr>
                <w:sz w:val="17"/>
                <w:szCs w:val="17"/>
                <w:color w:val="auto"/>
              </w:rPr>
            </w:pPr>
          </w:p>
        </w:tc>
        <w:tc>
          <w:tcPr>
            <w:tcW w:w="1260" w:type="dxa"/>
            <w:vAlign w:val="bottom"/>
            <w:gridSpan w:val="3"/>
            <w:shd w:val="clear" w:color="auto" w:fill="EEEEEE"/>
          </w:tcPr>
          <w:p>
            <w:pPr>
              <w:jc w:val="right"/>
              <w:ind w:right="8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60" w:type="dxa"/>
            <w:vAlign w:val="bottom"/>
            <w:gridSpan w:val="2"/>
            <w:shd w:val="clear" w:color="auto" w:fill="EEEEEE"/>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80" w:type="dxa"/>
            <w:vAlign w:val="bottom"/>
            <w:gridSpan w:val="2"/>
            <w:shd w:val="clear" w:color="auto" w:fill="EEEEEE"/>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140" w:type="dxa"/>
            <w:vAlign w:val="bottom"/>
          </w:tcPr>
          <w:p>
            <w:pPr>
              <w:ind w:left="260"/>
              <w:spacing w:after="0"/>
              <w:rPr>
                <w:sz w:val="20"/>
                <w:szCs w:val="20"/>
                <w:color w:val="auto"/>
              </w:rPr>
            </w:pPr>
            <w:r>
              <w:rPr>
                <w:rFonts w:ascii="Arial" w:cs="Arial" w:eastAsia="Arial" w:hAnsi="Arial"/>
                <w:sz w:val="16"/>
                <w:szCs w:val="16"/>
                <w:color w:val="auto"/>
              </w:rPr>
              <w:t>Common stock, $.01 par value, 200,000,000 shares authorized,</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380"/>
              <w:spacing w:after="0"/>
              <w:rPr>
                <w:sz w:val="20"/>
                <w:szCs w:val="20"/>
                <w:color w:val="auto"/>
              </w:rPr>
            </w:pPr>
            <w:r>
              <w:rPr>
                <w:rFonts w:ascii="Arial" w:cs="Arial" w:eastAsia="Arial" w:hAnsi="Arial"/>
                <w:sz w:val="16"/>
                <w:szCs w:val="16"/>
                <w:color w:val="auto"/>
                <w:w w:val="97"/>
              </w:rPr>
              <w:t>64,247,203 shares and 62,922,308 (restated) shares issued for 2003</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40" w:type="dxa"/>
            <w:vAlign w:val="bottom"/>
          </w:tcPr>
          <w:p>
            <w:pPr>
              <w:ind w:left="380"/>
              <w:spacing w:after="0"/>
              <w:rPr>
                <w:sz w:val="20"/>
                <w:szCs w:val="20"/>
                <w:color w:val="auto"/>
              </w:rPr>
            </w:pPr>
            <w:r>
              <w:rPr>
                <w:rFonts w:ascii="Arial" w:cs="Arial" w:eastAsia="Arial" w:hAnsi="Arial"/>
                <w:sz w:val="16"/>
                <w:szCs w:val="16"/>
                <w:color w:val="auto"/>
              </w:rPr>
              <w:t>and 2002, respectively</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7"/>
                <w:szCs w:val="17"/>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1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Additional paid-in capital</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421.8</w:t>
            </w: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420.4</w:t>
            </w:r>
          </w:p>
        </w:tc>
        <w:tc>
          <w:tcPr>
            <w:tcW w:w="300" w:type="dxa"/>
            <w:vAlign w:val="bottom"/>
            <w:shd w:val="clear" w:color="auto" w:fill="EEEEEE"/>
          </w:tcPr>
          <w:p>
            <w:pPr>
              <w:spacing w:after="0"/>
              <w:rPr>
                <w:sz w:val="16"/>
                <w:szCs w:val="16"/>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404.7</w:t>
            </w:r>
          </w:p>
        </w:tc>
        <w:tc>
          <w:tcPr>
            <w:tcW w:w="160" w:type="dxa"/>
            <w:vAlign w:val="bottom"/>
            <w:shd w:val="clear" w:color="auto" w:fill="EEEEEE"/>
          </w:tcPr>
          <w:p>
            <w:pPr>
              <w:spacing w:after="0"/>
              <w:rPr>
                <w:sz w:val="16"/>
                <w:szCs w:val="16"/>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403.4</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225.9</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218.9</w:t>
            </w:r>
          </w:p>
        </w:tc>
        <w:tc>
          <w:tcPr>
            <w:tcW w:w="30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171.3</w:t>
            </w:r>
          </w:p>
        </w:tc>
        <w:tc>
          <w:tcPr>
            <w:tcW w:w="16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156.7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EEEEEE"/>
          </w:tcPr>
          <w:p>
            <w:pPr>
              <w:ind w:left="260"/>
              <w:spacing w:after="0"/>
              <w:rPr>
                <w:sz w:val="20"/>
                <w:szCs w:val="20"/>
                <w:color w:val="auto"/>
              </w:rPr>
            </w:pPr>
            <w:r>
              <w:rPr>
                <w:rFonts w:ascii="Arial" w:cs="Arial" w:eastAsia="Arial" w:hAnsi="Arial"/>
                <w:sz w:val="16"/>
                <w:szCs w:val="16"/>
                <w:color w:val="auto"/>
              </w:rPr>
              <w:t>Accumulated other comprehensive loss</w:t>
            </w:r>
          </w:p>
        </w:tc>
        <w:tc>
          <w:tcPr>
            <w:tcW w:w="1600" w:type="dxa"/>
            <w:vAlign w:val="bottom"/>
            <w:gridSpan w:val="3"/>
            <w:shd w:val="clear" w:color="auto" w:fill="EEEEEE"/>
          </w:tcPr>
          <w:p>
            <w:pPr>
              <w:jc w:val="right"/>
              <w:ind w:right="460"/>
              <w:spacing w:after="0"/>
              <w:rPr>
                <w:sz w:val="20"/>
                <w:szCs w:val="20"/>
                <w:color w:val="auto"/>
              </w:rPr>
            </w:pPr>
            <w:r>
              <w:rPr>
                <w:rFonts w:ascii="Arial" w:cs="Arial" w:eastAsia="Arial" w:hAnsi="Arial"/>
                <w:sz w:val="16"/>
                <w:szCs w:val="16"/>
                <w:color w:val="auto"/>
              </w:rPr>
              <w:t>(2.7)</w:t>
            </w:r>
          </w:p>
        </w:tc>
        <w:tc>
          <w:tcPr>
            <w:tcW w:w="280" w:type="dxa"/>
            <w:vAlign w:val="bottom"/>
            <w:shd w:val="clear" w:color="auto" w:fill="EEEEEE"/>
          </w:tcPr>
          <w:p>
            <w:pPr>
              <w:spacing w:after="0"/>
              <w:rPr>
                <w:sz w:val="16"/>
                <w:szCs w:val="16"/>
                <w:color w:val="auto"/>
              </w:rPr>
            </w:pPr>
          </w:p>
        </w:tc>
        <w:tc>
          <w:tcPr>
            <w:tcW w:w="116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(6.4)</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6"/>
                <w:szCs w:val="16"/>
                <w:color w:val="auto"/>
              </w:rPr>
              <w:t>(79.6)</w:t>
            </w:r>
          </w:p>
        </w:tc>
        <w:tc>
          <w:tcPr>
            <w:tcW w:w="1720" w:type="dxa"/>
            <w:vAlign w:val="bottom"/>
            <w:gridSpan w:val="5"/>
            <w:shd w:val="clear" w:color="auto" w:fill="EEEEEE"/>
          </w:tcPr>
          <w:p>
            <w:pPr>
              <w:jc w:val="right"/>
              <w:ind w:right="260"/>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191"/>
        </w:trPr>
        <w:tc>
          <w:tcPr>
            <w:tcW w:w="5140" w:type="dxa"/>
            <w:vAlign w:val="bottom"/>
          </w:tcPr>
          <w:p>
            <w:pPr>
              <w:ind w:left="260"/>
              <w:spacing w:after="0"/>
              <w:rPr>
                <w:sz w:val="20"/>
                <w:szCs w:val="20"/>
                <w:color w:val="auto"/>
              </w:rPr>
            </w:pPr>
            <w:r>
              <w:rPr>
                <w:rFonts w:ascii="Arial" w:cs="Arial" w:eastAsia="Arial" w:hAnsi="Arial"/>
                <w:sz w:val="16"/>
                <w:szCs w:val="16"/>
                <w:color w:val="auto"/>
              </w:rPr>
              <w:t>Deferred compensation</w:t>
            </w:r>
          </w:p>
        </w:tc>
        <w:tc>
          <w:tcPr>
            <w:tcW w:w="1600" w:type="dxa"/>
            <w:vAlign w:val="bottom"/>
            <w:gridSpan w:val="3"/>
          </w:tcPr>
          <w:p>
            <w:pPr>
              <w:jc w:val="right"/>
              <w:ind w:right="460"/>
              <w:spacing w:after="0"/>
              <w:rPr>
                <w:sz w:val="20"/>
                <w:szCs w:val="20"/>
                <w:color w:val="auto"/>
              </w:rPr>
            </w:pPr>
            <w:r>
              <w:rPr>
                <w:rFonts w:ascii="Arial" w:cs="Arial" w:eastAsia="Arial" w:hAnsi="Arial"/>
                <w:sz w:val="16"/>
                <w:szCs w:val="16"/>
                <w:color w:val="auto"/>
              </w:rPr>
              <w:t>(18.7)</w:t>
            </w:r>
          </w:p>
        </w:tc>
        <w:tc>
          <w:tcPr>
            <w:tcW w:w="280" w:type="dxa"/>
            <w:vAlign w:val="bottom"/>
          </w:tcPr>
          <w:p>
            <w:pPr>
              <w:spacing w:after="0"/>
              <w:rPr>
                <w:sz w:val="16"/>
                <w:szCs w:val="16"/>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6"/>
                <w:szCs w:val="16"/>
                <w:color w:val="auto"/>
              </w:rPr>
              <w:t>(18.2)</w:t>
            </w:r>
          </w:p>
        </w:tc>
        <w:tc>
          <w:tcPr>
            <w:tcW w:w="1540" w:type="dxa"/>
            <w:vAlign w:val="bottom"/>
            <w:gridSpan w:val="4"/>
          </w:tcPr>
          <w:p>
            <w:pPr>
              <w:jc w:val="right"/>
              <w:ind w:right="100"/>
              <w:spacing w:after="0"/>
              <w:rPr>
                <w:sz w:val="20"/>
                <w:szCs w:val="20"/>
                <w:color w:val="auto"/>
              </w:rPr>
            </w:pPr>
            <w:r>
              <w:rPr>
                <w:rFonts w:ascii="Arial" w:cs="Arial" w:eastAsia="Arial" w:hAnsi="Arial"/>
                <w:sz w:val="16"/>
                <w:szCs w:val="16"/>
                <w:color w:val="auto"/>
              </w:rPr>
              <w:t>(21.8)</w:t>
            </w:r>
          </w:p>
        </w:tc>
        <w:tc>
          <w:tcPr>
            <w:tcW w:w="1720" w:type="dxa"/>
            <w:vAlign w:val="bottom"/>
            <w:gridSpan w:val="5"/>
          </w:tcPr>
          <w:p>
            <w:pPr>
              <w:jc w:val="right"/>
              <w:ind w:right="26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84"/>
        </w:trPr>
        <w:tc>
          <w:tcPr>
            <w:tcW w:w="5140" w:type="dxa"/>
            <w:vAlign w:val="bottom"/>
            <w:shd w:val="clear" w:color="auto" w:fill="EEEEEE"/>
          </w:tcPr>
          <w:p>
            <w:pPr>
              <w:ind w:left="260"/>
              <w:spacing w:after="0"/>
              <w:rPr>
                <w:sz w:val="20"/>
                <w:szCs w:val="20"/>
                <w:color w:val="auto"/>
              </w:rPr>
            </w:pPr>
            <w:r>
              <w:rPr>
                <w:rFonts w:ascii="Arial" w:cs="Arial" w:eastAsia="Arial" w:hAnsi="Arial"/>
                <w:sz w:val="16"/>
                <w:szCs w:val="16"/>
                <w:color w:val="auto"/>
                <w:w w:val="98"/>
              </w:rPr>
              <w:t>Treasury stock, at cost, 3,043,916 and 3,009,656 shares for 2003 and</w:t>
            </w:r>
          </w:p>
        </w:tc>
        <w:tc>
          <w:tcPr>
            <w:tcW w:w="6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5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4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EEEEEE"/>
          </w:tcPr>
          <w:p>
            <w:pPr>
              <w:ind w:left="380"/>
              <w:spacing w:after="0"/>
              <w:rPr>
                <w:sz w:val="20"/>
                <w:szCs w:val="20"/>
                <w:color w:val="auto"/>
              </w:rPr>
            </w:pPr>
            <w:r>
              <w:rPr>
                <w:rFonts w:ascii="Arial" w:cs="Arial" w:eastAsia="Arial" w:hAnsi="Arial"/>
                <w:sz w:val="16"/>
                <w:szCs w:val="16"/>
                <w:color w:val="auto"/>
              </w:rPr>
              <w:t>2002, respectively</w:t>
            </w:r>
          </w:p>
        </w:tc>
        <w:tc>
          <w:tcPr>
            <w:tcW w:w="1600" w:type="dxa"/>
            <w:vAlign w:val="bottom"/>
            <w:gridSpan w:val="3"/>
            <w:shd w:val="clear" w:color="auto" w:fill="EEEEEE"/>
          </w:tcPr>
          <w:p>
            <w:pPr>
              <w:jc w:val="right"/>
              <w:ind w:right="460"/>
              <w:spacing w:after="0"/>
              <w:rPr>
                <w:sz w:val="20"/>
                <w:szCs w:val="20"/>
                <w:color w:val="auto"/>
              </w:rPr>
            </w:pPr>
            <w:r>
              <w:rPr>
                <w:rFonts w:ascii="Arial" w:cs="Arial" w:eastAsia="Arial" w:hAnsi="Arial"/>
                <w:sz w:val="16"/>
                <w:szCs w:val="16"/>
                <w:color w:val="auto"/>
              </w:rPr>
              <w:t>(31.1)</w:t>
            </w:r>
          </w:p>
        </w:tc>
        <w:tc>
          <w:tcPr>
            <w:tcW w:w="280" w:type="dxa"/>
            <w:vAlign w:val="bottom"/>
            <w:shd w:val="clear" w:color="auto" w:fill="EEEEEE"/>
          </w:tcPr>
          <w:p>
            <w:pPr>
              <w:spacing w:after="0"/>
              <w:rPr>
                <w:sz w:val="17"/>
                <w:szCs w:val="17"/>
                <w:color w:val="auto"/>
              </w:rPr>
            </w:pPr>
          </w:p>
        </w:tc>
        <w:tc>
          <w:tcPr>
            <w:tcW w:w="116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(31.1)</w:t>
            </w: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6"/>
                <w:szCs w:val="16"/>
                <w:color w:val="auto"/>
              </w:rPr>
              <w:t>(30.7)</w:t>
            </w:r>
          </w:p>
        </w:tc>
        <w:tc>
          <w:tcPr>
            <w:tcW w:w="1720" w:type="dxa"/>
            <w:vAlign w:val="bottom"/>
            <w:gridSpan w:val="5"/>
            <w:shd w:val="clear" w:color="auto" w:fill="EEEEEE"/>
          </w:tcPr>
          <w:p>
            <w:pPr>
              <w:jc w:val="right"/>
              <w:ind w:right="26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95"/>
        </w:trPr>
        <w:tc>
          <w:tcPr>
            <w:tcW w:w="5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560"/>
              <w:spacing w:after="0"/>
              <w:rPr>
                <w:sz w:val="20"/>
                <w:szCs w:val="20"/>
                <w:color w:val="auto"/>
              </w:rPr>
            </w:pPr>
            <w:r>
              <w:rPr>
                <w:rFonts w:ascii="Arial" w:cs="Arial" w:eastAsia="Arial" w:hAnsi="Arial"/>
                <w:sz w:val="16"/>
                <w:szCs w:val="16"/>
                <w:color w:val="auto"/>
              </w:rPr>
              <w:t>Total stockholders’ equity</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595.8</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584.2</w:t>
            </w:r>
          </w:p>
        </w:tc>
        <w:tc>
          <w:tcPr>
            <w:tcW w:w="3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444.5</w:t>
            </w:r>
          </w:p>
        </w:tc>
        <w:tc>
          <w:tcPr>
            <w:tcW w:w="16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Arial" w:cs="Arial" w:eastAsia="Arial" w:hAnsi="Arial"/>
                <w:sz w:val="16"/>
                <w:szCs w:val="16"/>
                <w:color w:val="auto"/>
              </w:rPr>
              <w:t>430.3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14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TOTAL LIABILITIES AND STOCKHOLDERS’ EQUITY</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$1,733.1</w:t>
            </w:r>
          </w:p>
        </w:tc>
        <w:tc>
          <w:tcPr>
            <w:tcW w:w="5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$1,726.6</w:t>
            </w:r>
          </w:p>
        </w:tc>
        <w:tc>
          <w:tcPr>
            <w:tcW w:w="300" w:type="dxa"/>
            <w:vAlign w:val="bottom"/>
            <w:shd w:val="clear" w:color="auto" w:fill="EEEEEE"/>
          </w:tcPr>
          <w:p>
            <w:pPr>
              <w:spacing w:after="0"/>
              <w:rPr>
                <w:sz w:val="16"/>
                <w:szCs w:val="16"/>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$1,513.4</w:t>
            </w:r>
          </w:p>
        </w:tc>
        <w:tc>
          <w:tcPr>
            <w:tcW w:w="160" w:type="dxa"/>
            <w:vAlign w:val="bottom"/>
            <w:shd w:val="clear" w:color="auto" w:fill="EEEEEE"/>
          </w:tcPr>
          <w:p>
            <w:pPr>
              <w:spacing w:after="0"/>
              <w:rPr>
                <w:sz w:val="16"/>
                <w:szCs w:val="16"/>
                <w:color w:val="auto"/>
              </w:rPr>
            </w:pP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$1,507.6</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-34925</wp:posOffset>
            </wp:positionV>
            <wp:extent cx="1270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-34925</wp:posOffset>
            </wp:positionV>
            <wp:extent cx="1270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-34925</wp:posOffset>
            </wp:positionV>
            <wp:extent cx="12700"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-34925</wp:posOffset>
            </wp:positionV>
            <wp:extent cx="12700"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-34925</wp:posOffset>
            </wp:positionV>
            <wp:extent cx="1270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-34925</wp:posOffset>
            </wp:positionV>
            <wp:extent cx="1270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-34925</wp:posOffset>
            </wp:positionV>
            <wp:extent cx="1270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6772275</wp:posOffset>
            </wp:positionH>
            <wp:positionV relativeFrom="paragraph">
              <wp:posOffset>-34925</wp:posOffset>
            </wp:positionV>
            <wp:extent cx="1270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jc w:val="both"/>
        <w:ind w:right="140" w:firstLine="286"/>
        <w:spacing w:after="0" w:line="310" w:lineRule="auto"/>
        <w:rPr>
          <w:sz w:val="20"/>
          <w:szCs w:val="20"/>
          <w:color w:val="auto"/>
        </w:rPr>
      </w:pPr>
      <w:r>
        <w:rPr>
          <w:rFonts w:ascii="Arial" w:cs="Arial" w:eastAsia="Arial" w:hAnsi="Arial"/>
          <w:sz w:val="14"/>
          <w:szCs w:val="14"/>
          <w:color w:val="auto"/>
        </w:rPr>
        <w:t>As a result of the internal inquiry conducted by the Audit Committee of the Board of Directors, the Company delayed the filing of this Annual Report on Form 10-K for the year ended December 31, 2003, and its Quarterly Reports on Form 10-Q for the quarters ended March 31, 2004 and June 30, 2004 with the Securities and Exchange Commission (“SEC”). The delay in filing resulted in the Company’s inability to meet certain requirements under the Company’s debt obligations, the most significant of which are discussed below.</w:t>
      </w:r>
    </w:p>
    <w:p>
      <w:pPr>
        <w:spacing w:after="0" w:line="163" w:lineRule="exact"/>
        <w:rPr>
          <w:sz w:val="20"/>
          <w:szCs w:val="20"/>
          <w:color w:val="auto"/>
        </w:rPr>
      </w:pPr>
    </w:p>
    <w:p>
      <w:pPr>
        <w:ind w:right="20" w:firstLine="286"/>
        <w:spacing w:after="0" w:line="291" w:lineRule="auto"/>
        <w:rPr>
          <w:sz w:val="20"/>
          <w:szCs w:val="20"/>
          <w:color w:val="auto"/>
        </w:rPr>
      </w:pPr>
      <w:r>
        <w:rPr>
          <w:rFonts w:ascii="Arial" w:cs="Arial" w:eastAsia="Arial" w:hAnsi="Arial"/>
          <w:sz w:val="14"/>
          <w:szCs w:val="14"/>
          <w:color w:val="auto"/>
        </w:rPr>
        <w:t>The Company’s long-term public debt is governed by an Indenture, dated as of May 8, 2002 between LII and Bank of New York, as Trustee, relating to LII’s 6.25% Convertible Subordinated Notes due June 1, 2009 (the “Convertible Notes”), and a Registration Rights Agreement, dated as of May 8, 2002 (the “Registration Rights Agreement”), between LII, UBS Warburg LLC and the other initial purchasers relating to LII’s Convertible Notes. Under the Registration Rights Agreement, LII agreed that during the two-year period from the date of issuance (May 8, 2002), LII would file with the SEC a registration statement on the Convertible Notes and cause the registration statement to be declared effective and usable for the offer and sale of the Convertible Notes. The delay in filing the Annual Report on Form 10-K caused a default on April 29, 2004 under the Registration Rights Agreement (the “Default Date”) since the registration statement ceased to be effective through May 8, 2004 (a “Registration Default”). Upon a Registration Default, LII became contractually obligated to pay an additional 0.25% per annum interest (“Liquidated Damages”) from the Default Date until the second anniversary of the issuance of the Convertible Notes. As of May 8, 2004, LII was no longer in default with no further Liquidated Damages required. LII paid approximately $32,000 in Liquidated Damages on June 1, 2004.</w:t>
      </w:r>
    </w:p>
    <w:p>
      <w:pPr>
        <w:spacing w:after="0" w:line="180" w:lineRule="exact"/>
        <w:rPr>
          <w:sz w:val="20"/>
          <w:szCs w:val="20"/>
          <w:color w:val="auto"/>
        </w:rPr>
      </w:pPr>
    </w:p>
    <w:p>
      <w:pPr>
        <w:jc w:val="both"/>
        <w:ind w:right="220" w:firstLine="286"/>
        <w:spacing w:after="0" w:line="256" w:lineRule="auto"/>
        <w:rPr>
          <w:sz w:val="20"/>
          <w:szCs w:val="20"/>
          <w:color w:val="auto"/>
        </w:rPr>
      </w:pPr>
      <w:r>
        <w:rPr>
          <w:rFonts w:ascii="Arial" w:cs="Arial" w:eastAsia="Arial" w:hAnsi="Arial"/>
          <w:sz w:val="16"/>
          <w:szCs w:val="16"/>
          <w:color w:val="auto"/>
        </w:rPr>
        <w:t>In September 2003, the Company entered into a credit facility agreement that provides for aggregate borrowings of up to $225 million and is available on a revolving basis for a period of three years. At the same time, LII amended its private placement notes that are pari passu with the credit facility. These agreements require that LII annually and quarterly deliver financial statements, as well as compliance certificates,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4" w:name="page55"/>
    <w:bookmarkEnd w:id="54"/>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jc w:val="both"/>
        <w:ind w:left="5" w:right="20"/>
        <w:spacing w:after="0" w:line="256" w:lineRule="auto"/>
        <w:rPr>
          <w:sz w:val="20"/>
          <w:szCs w:val="20"/>
          <w:color w:val="auto"/>
        </w:rPr>
      </w:pPr>
      <w:r>
        <w:rPr>
          <w:rFonts w:ascii="Arial" w:cs="Arial" w:eastAsia="Arial" w:hAnsi="Arial"/>
          <w:sz w:val="16"/>
          <w:szCs w:val="16"/>
          <w:color w:val="auto"/>
        </w:rPr>
        <w:t>lenders within a specified period of time. As a result of the delays mentioned above, LII requested and received waivers from its lenders through December 31, 2004, of any breach due to a delay in the delivery of its annual and quarterly financial statements, as well as compliance certificates. As of December 31, 2003, there was $3 million outstanding under the credit facility and $210 million outstanding under the private placement notes.</w:t>
      </w:r>
    </w:p>
    <w:p>
      <w:pPr>
        <w:spacing w:after="0" w:line="198" w:lineRule="exact"/>
        <w:rPr>
          <w:sz w:val="20"/>
          <w:szCs w:val="20"/>
          <w:color w:val="auto"/>
        </w:rPr>
      </w:pPr>
    </w:p>
    <w:p>
      <w:pPr>
        <w:ind w:left="5" w:right="180" w:firstLine="286"/>
        <w:spacing w:after="0" w:line="256" w:lineRule="auto"/>
        <w:rPr>
          <w:sz w:val="20"/>
          <w:szCs w:val="20"/>
          <w:color w:val="auto"/>
        </w:rPr>
      </w:pPr>
      <w:r>
        <w:rPr>
          <w:rFonts w:ascii="Arial" w:cs="Arial" w:eastAsia="Arial" w:hAnsi="Arial"/>
          <w:sz w:val="16"/>
          <w:szCs w:val="16"/>
          <w:color w:val="auto"/>
        </w:rPr>
        <w:t>By filing this Annual Report on Form 10-K and our Quarterly Reports on Form 10-Q for the quarters ended March 31, 2004 and June 30, 2004 with the SEC and by delivering a copy of these filings to the Administrative Agent under the credit facility and the lenders under the private placement notes, the Company will comply with the terms of those agreements.</w:t>
      </w:r>
    </w:p>
    <w:p>
      <w:pPr>
        <w:spacing w:after="0" w:line="383" w:lineRule="exact"/>
        <w:rPr>
          <w:sz w:val="20"/>
          <w:szCs w:val="20"/>
          <w:color w:val="auto"/>
        </w:rPr>
      </w:pPr>
    </w:p>
    <w:p>
      <w:pPr>
        <w:ind w:left="465" w:hanging="465"/>
        <w:spacing w:after="0"/>
        <w:tabs>
          <w:tab w:leader="none" w:pos="46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Reportable Business Segments: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4"/>
          <w:szCs w:val="14"/>
          <w:color w:val="auto"/>
        </w:rPr>
        <w:t>The Company’s basis of organization and the differences in the nature of products or services (as more fully described in Note 1), were the factors used in determining the</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6"/>
          <w:szCs w:val="16"/>
          <w:color w:val="auto"/>
        </w:rPr>
        <w:t>Company’s reportable segments. Financial information about the Company’s reportable business segments are as follows (in millions):</w:t>
      </w:r>
    </w:p>
    <w:p>
      <w:pPr>
        <w:spacing w:after="0" w:line="379"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7"/>
          </w:tcPr>
          <w:p>
            <w:pPr>
              <w:jc w:val="center"/>
              <w:spacing w:after="0"/>
              <w:rPr>
                <w:sz w:val="20"/>
                <w:szCs w:val="20"/>
                <w:color w:val="auto"/>
              </w:rPr>
            </w:pPr>
            <w:r>
              <w:rPr>
                <w:rFonts w:ascii="Arial" w:cs="Arial" w:eastAsia="Arial" w:hAnsi="Arial"/>
                <w:sz w:val="12"/>
                <w:szCs w:val="12"/>
                <w:b w:val="1"/>
                <w:bCs w:val="1"/>
                <w:color w:val="auto"/>
                <w:w w:val="88"/>
              </w:rPr>
              <w:t>For the Years Ended December 31,</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4"/>
          </w:tcPr>
          <w:p>
            <w:pPr>
              <w:jc w:val="center"/>
              <w:ind w:right="780"/>
              <w:spacing w:after="0"/>
              <w:rPr>
                <w:sz w:val="20"/>
                <w:szCs w:val="20"/>
                <w:color w:val="auto"/>
              </w:rPr>
            </w:pPr>
            <w:r>
              <w:rPr>
                <w:rFonts w:ascii="Arial" w:cs="Arial" w:eastAsia="Arial" w:hAnsi="Arial"/>
                <w:sz w:val="12"/>
                <w:szCs w:val="12"/>
                <w:b w:val="1"/>
                <w:bCs w:val="1"/>
                <w:color w:val="auto"/>
                <w:w w:val="86"/>
              </w:rPr>
              <w:t>Restated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58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2003</w:t>
            </w:r>
          </w:p>
        </w:tc>
        <w:tc>
          <w:tcPr>
            <w:tcW w:w="200" w:type="dxa"/>
            <w:vAlign w:val="bottom"/>
          </w:tcPr>
          <w:p>
            <w:pPr>
              <w:spacing w:after="0"/>
              <w:rPr>
                <w:sz w:val="13"/>
                <w:szCs w:val="13"/>
                <w:color w:val="auto"/>
              </w:rPr>
            </w:pPr>
          </w:p>
        </w:tc>
        <w:tc>
          <w:tcPr>
            <w:tcW w:w="1280" w:type="dxa"/>
            <w:vAlign w:val="bottom"/>
            <w:gridSpan w:val="4"/>
          </w:tcPr>
          <w:p>
            <w:pPr>
              <w:jc w:val="center"/>
              <w:ind w:left="726"/>
              <w:spacing w:after="0"/>
              <w:rPr>
                <w:sz w:val="20"/>
                <w:szCs w:val="20"/>
                <w:color w:val="auto"/>
              </w:rPr>
            </w:pPr>
            <w:r>
              <w:rPr>
                <w:rFonts w:ascii="Arial" w:cs="Arial" w:eastAsia="Arial" w:hAnsi="Arial"/>
                <w:sz w:val="12"/>
                <w:szCs w:val="12"/>
                <w:b w:val="1"/>
                <w:bCs w:val="1"/>
                <w:color w:val="auto"/>
                <w:w w:val="89"/>
              </w:rPr>
              <w:t>2002</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9"/>
              </w:rPr>
              <w:t>2001(b)</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3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Net Sales</w:t>
            </w:r>
          </w:p>
        </w:tc>
        <w:tc>
          <w:tcPr>
            <w:tcW w:w="27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00" w:type="dxa"/>
            <w:vAlign w:val="bottom"/>
          </w:tcPr>
          <w:p>
            <w:pPr>
              <w:ind w:left="280"/>
              <w:spacing w:after="0"/>
              <w:rPr>
                <w:sz w:val="20"/>
                <w:szCs w:val="20"/>
                <w:color w:val="auto"/>
              </w:rPr>
            </w:pPr>
            <w:r>
              <w:rPr>
                <w:rFonts w:ascii="Arial" w:cs="Arial" w:eastAsia="Arial" w:hAnsi="Arial"/>
                <w:sz w:val="16"/>
                <w:szCs w:val="16"/>
                <w:color w:val="auto"/>
              </w:rPr>
              <w:t>Residential</w:t>
            </w:r>
          </w:p>
        </w:tc>
        <w:tc>
          <w:tcPr>
            <w:tcW w:w="3580" w:type="dxa"/>
            <w:vAlign w:val="bottom"/>
            <w:gridSpan w:val="3"/>
          </w:tcPr>
          <w:p>
            <w:pPr>
              <w:jc w:val="right"/>
              <w:spacing w:after="0"/>
              <w:rPr>
                <w:sz w:val="20"/>
                <w:szCs w:val="20"/>
                <w:color w:val="auto"/>
              </w:rPr>
            </w:pPr>
            <w:r>
              <w:rPr>
                <w:rFonts w:ascii="Arial" w:cs="Arial" w:eastAsia="Arial" w:hAnsi="Arial"/>
                <w:sz w:val="16"/>
                <w:szCs w:val="16"/>
                <w:color w:val="auto"/>
              </w:rPr>
              <w:t>$1,358.7</w:t>
            </w:r>
          </w:p>
        </w:tc>
        <w:tc>
          <w:tcPr>
            <w:tcW w:w="20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$1,249.1</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$1,195.1</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Commercial</w:t>
            </w:r>
          </w:p>
        </w:tc>
        <w:tc>
          <w:tcPr>
            <w:tcW w:w="35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508.4</w:t>
            </w:r>
          </w:p>
        </w:tc>
        <w:tc>
          <w:tcPr>
            <w:tcW w:w="20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442.4</w:t>
            </w:r>
          </w:p>
        </w:tc>
        <w:tc>
          <w:tcPr>
            <w:tcW w:w="3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470.0</w:t>
            </w:r>
          </w:p>
        </w:tc>
        <w:tc>
          <w:tcPr>
            <w:tcW w:w="36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100" w:type="dxa"/>
            <w:vAlign w:val="bottom"/>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3400" w:type="dxa"/>
            <w:vAlign w:val="bottom"/>
          </w:tcPr>
          <w:p>
            <w:pPr>
              <w:ind w:left="540"/>
              <w:spacing w:after="0"/>
              <w:rPr>
                <w:sz w:val="20"/>
                <w:szCs w:val="20"/>
                <w:color w:val="auto"/>
              </w:rPr>
            </w:pPr>
            <w:r>
              <w:rPr>
                <w:rFonts w:ascii="Arial" w:cs="Arial" w:eastAsia="Arial" w:hAnsi="Arial"/>
                <w:sz w:val="16"/>
                <w:szCs w:val="16"/>
                <w:color w:val="auto"/>
              </w:rPr>
              <w:t>Heating &amp; Cooling</w:t>
            </w:r>
          </w:p>
        </w:tc>
        <w:tc>
          <w:tcPr>
            <w:tcW w:w="3580" w:type="dxa"/>
            <w:vAlign w:val="bottom"/>
            <w:gridSpan w:val="3"/>
          </w:tcPr>
          <w:p>
            <w:pPr>
              <w:jc w:val="right"/>
              <w:spacing w:after="0"/>
              <w:rPr>
                <w:sz w:val="20"/>
                <w:szCs w:val="20"/>
                <w:color w:val="auto"/>
              </w:rPr>
            </w:pPr>
            <w:r>
              <w:rPr>
                <w:rFonts w:ascii="Arial" w:cs="Arial" w:eastAsia="Arial" w:hAnsi="Arial"/>
                <w:sz w:val="16"/>
                <w:szCs w:val="16"/>
                <w:color w:val="auto"/>
              </w:rPr>
              <w:t>1,867.1</w:t>
            </w:r>
          </w:p>
        </w:tc>
        <w:tc>
          <w:tcPr>
            <w:tcW w:w="20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1,691.5</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1,665.1</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4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Service Experts</w:t>
            </w:r>
          </w:p>
        </w:tc>
        <w:tc>
          <w:tcPr>
            <w:tcW w:w="35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937.1</w:t>
            </w:r>
          </w:p>
        </w:tc>
        <w:tc>
          <w:tcPr>
            <w:tcW w:w="20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942.6</w:t>
            </w:r>
          </w:p>
        </w:tc>
        <w:tc>
          <w:tcPr>
            <w:tcW w:w="3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1,002.6</w:t>
            </w:r>
          </w:p>
        </w:tc>
        <w:tc>
          <w:tcPr>
            <w:tcW w:w="36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00" w:type="dxa"/>
            <w:vAlign w:val="bottom"/>
          </w:tcPr>
          <w:p>
            <w:pPr>
              <w:ind w:left="280"/>
              <w:spacing w:after="0"/>
              <w:rPr>
                <w:sz w:val="20"/>
                <w:szCs w:val="20"/>
                <w:color w:val="auto"/>
              </w:rPr>
            </w:pPr>
            <w:r>
              <w:rPr>
                <w:rFonts w:ascii="Arial" w:cs="Arial" w:eastAsia="Arial" w:hAnsi="Arial"/>
                <w:sz w:val="16"/>
                <w:szCs w:val="16"/>
                <w:color w:val="auto"/>
              </w:rPr>
              <w:t>Refrigeration</w:t>
            </w:r>
          </w:p>
        </w:tc>
        <w:tc>
          <w:tcPr>
            <w:tcW w:w="3580" w:type="dxa"/>
            <w:vAlign w:val="bottom"/>
            <w:gridSpan w:val="3"/>
          </w:tcPr>
          <w:p>
            <w:pPr>
              <w:jc w:val="right"/>
              <w:spacing w:after="0"/>
              <w:rPr>
                <w:sz w:val="20"/>
                <w:szCs w:val="20"/>
                <w:color w:val="auto"/>
              </w:rPr>
            </w:pPr>
            <w:r>
              <w:rPr>
                <w:rFonts w:ascii="Arial" w:cs="Arial" w:eastAsia="Arial" w:hAnsi="Arial"/>
                <w:sz w:val="16"/>
                <w:szCs w:val="16"/>
                <w:color w:val="auto"/>
              </w:rPr>
              <w:t>387.2</w:t>
            </w:r>
          </w:p>
        </w:tc>
        <w:tc>
          <w:tcPr>
            <w:tcW w:w="20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Arial" w:cs="Arial" w:eastAsia="Arial" w:hAnsi="Arial"/>
                <w:sz w:val="16"/>
                <w:szCs w:val="16"/>
                <w:color w:val="auto"/>
              </w:rPr>
              <w:t>363.8</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348.1</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Corporate and other(a)</w:t>
            </w:r>
          </w:p>
        </w:tc>
        <w:tc>
          <w:tcPr>
            <w:tcW w:w="27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129.3</w:t>
            </w:r>
          </w:p>
        </w:tc>
        <w:tc>
          <w:tcPr>
            <w:tcW w:w="3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200.5</w:t>
            </w:r>
          </w:p>
        </w:tc>
        <w:tc>
          <w:tcPr>
            <w:tcW w:w="36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0" w:type="dxa"/>
            <w:vAlign w:val="bottom"/>
          </w:tcPr>
          <w:p>
            <w:pPr>
              <w:ind w:left="280"/>
              <w:spacing w:after="0"/>
              <w:rPr>
                <w:sz w:val="20"/>
                <w:szCs w:val="20"/>
                <w:color w:val="auto"/>
              </w:rPr>
            </w:pPr>
            <w:r>
              <w:rPr>
                <w:rFonts w:ascii="Arial" w:cs="Arial" w:eastAsia="Arial" w:hAnsi="Arial"/>
                <w:sz w:val="16"/>
                <w:szCs w:val="16"/>
                <w:color w:val="auto"/>
              </w:rPr>
              <w:t>Eliminations</w:t>
            </w:r>
          </w:p>
        </w:tc>
        <w:tc>
          <w:tcPr>
            <w:tcW w:w="3780" w:type="dxa"/>
            <w:vAlign w:val="bottom"/>
            <w:gridSpan w:val="4"/>
          </w:tcPr>
          <w:p>
            <w:pPr>
              <w:jc w:val="right"/>
              <w:ind w:right="160"/>
              <w:spacing w:after="0"/>
              <w:rPr>
                <w:sz w:val="20"/>
                <w:szCs w:val="20"/>
                <w:color w:val="auto"/>
              </w:rPr>
            </w:pPr>
            <w:r>
              <w:rPr>
                <w:rFonts w:ascii="Arial" w:cs="Arial" w:eastAsia="Arial" w:hAnsi="Arial"/>
                <w:sz w:val="16"/>
                <w:szCs w:val="16"/>
                <w:color w:val="auto"/>
              </w:rPr>
              <w:t>(106.3)</w:t>
            </w:r>
          </w:p>
        </w:tc>
        <w:tc>
          <w:tcPr>
            <w:tcW w:w="1640" w:type="dxa"/>
            <w:vAlign w:val="bottom"/>
            <w:gridSpan w:val="5"/>
          </w:tcPr>
          <w:p>
            <w:pPr>
              <w:jc w:val="right"/>
              <w:ind w:right="320"/>
              <w:spacing w:after="0"/>
              <w:rPr>
                <w:sz w:val="20"/>
                <w:szCs w:val="20"/>
                <w:color w:val="auto"/>
              </w:rPr>
            </w:pPr>
            <w:r>
              <w:rPr>
                <w:rFonts w:ascii="Arial" w:cs="Arial" w:eastAsia="Arial" w:hAnsi="Arial"/>
                <w:sz w:val="16"/>
                <w:szCs w:val="16"/>
                <w:color w:val="auto"/>
              </w:rPr>
              <w:t>(102.6)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(102.7)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3400" w:type="dxa"/>
            <w:vAlign w:val="bottom"/>
            <w:shd w:val="clear" w:color="auto" w:fill="EEEEEE"/>
          </w:tcPr>
          <w:p>
            <w:pPr>
              <w:spacing w:after="0"/>
              <w:rPr>
                <w:sz w:val="16"/>
                <w:szCs w:val="16"/>
                <w:color w:val="auto"/>
              </w:rPr>
            </w:pPr>
          </w:p>
        </w:tc>
        <w:tc>
          <w:tcPr>
            <w:tcW w:w="35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$3,085.1</w:t>
            </w:r>
          </w:p>
        </w:tc>
        <w:tc>
          <w:tcPr>
            <w:tcW w:w="200" w:type="dxa"/>
            <w:vAlign w:val="bottom"/>
            <w:shd w:val="clear" w:color="auto" w:fill="EEEEEE"/>
          </w:tcPr>
          <w:p>
            <w:pPr>
              <w:spacing w:after="0"/>
              <w:rPr>
                <w:sz w:val="16"/>
                <w:szCs w:val="16"/>
                <w:color w:val="auto"/>
              </w:rPr>
            </w:pPr>
          </w:p>
        </w:tc>
        <w:tc>
          <w:tcPr>
            <w:tcW w:w="12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$3,024.6</w:t>
            </w:r>
          </w:p>
        </w:tc>
        <w:tc>
          <w:tcPr>
            <w:tcW w:w="3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$3,113.6</w:t>
            </w:r>
          </w:p>
        </w:tc>
        <w:tc>
          <w:tcPr>
            <w:tcW w:w="36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740" w:type="dxa"/>
            <w:vAlign w:val="bottom"/>
            <w:vMerge w:val="restart"/>
          </w:tcPr>
          <w:p>
            <w:pPr>
              <w:jc w:val="right"/>
              <w:ind w:right="824"/>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340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-473710</wp:posOffset>
            </wp:positionV>
            <wp:extent cx="12700"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-473710</wp:posOffset>
            </wp:positionV>
            <wp:extent cx="1270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-473710</wp:posOffset>
            </wp:positionV>
            <wp:extent cx="12700"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5427345</wp:posOffset>
            </wp:positionH>
            <wp:positionV relativeFrom="paragraph">
              <wp:posOffset>-473710</wp:posOffset>
            </wp:positionV>
            <wp:extent cx="1270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6654165</wp:posOffset>
            </wp:positionH>
            <wp:positionV relativeFrom="paragraph">
              <wp:posOffset>-473710</wp:posOffset>
            </wp:positionV>
            <wp:extent cx="12700"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-473710</wp:posOffset>
            </wp:positionV>
            <wp:extent cx="12700"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7252335</wp:posOffset>
            </wp:positionH>
            <wp:positionV relativeFrom="paragraph">
              <wp:posOffset>-13335</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80" w:type="dxa"/>
            <w:vAlign w:val="bottom"/>
            <w:gridSpan w:val="18"/>
          </w:tcPr>
          <w:p>
            <w:pPr>
              <w:jc w:val="center"/>
              <w:ind w:right="920"/>
              <w:spacing w:after="0"/>
              <w:rPr>
                <w:sz w:val="20"/>
                <w:szCs w:val="20"/>
                <w:color w:val="auto"/>
              </w:rPr>
            </w:pPr>
            <w:r>
              <w:rPr>
                <w:rFonts w:ascii="Arial" w:cs="Arial" w:eastAsia="Arial" w:hAnsi="Arial"/>
                <w:sz w:val="12"/>
                <w:szCs w:val="12"/>
                <w:b w:val="1"/>
                <w:bCs w:val="1"/>
                <w:color w:val="auto"/>
                <w:w w:val="88"/>
              </w:rPr>
              <w:t>For the Years Ended December 31,</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center"/>
              <w:spacing w:after="0"/>
              <w:rPr>
                <w:sz w:val="20"/>
                <w:szCs w:val="20"/>
                <w:color w:val="auto"/>
              </w:rPr>
            </w:pPr>
            <w:r>
              <w:rPr>
                <w:rFonts w:ascii="Arial" w:cs="Arial" w:eastAsia="Arial" w:hAnsi="Arial"/>
                <w:sz w:val="12"/>
                <w:szCs w:val="12"/>
                <w:b w:val="1"/>
                <w:bCs w:val="1"/>
                <w:color w:val="auto"/>
                <w:w w:val="86"/>
              </w:rPr>
              <w:t>Restated</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7"/>
          </w:tcPr>
          <w:p>
            <w:pPr>
              <w:jc w:val="center"/>
              <w:ind w:left="825"/>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2001(b)</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940" w:type="dxa"/>
            <w:vAlign w:val="bottom"/>
            <w:gridSpan w:val="2"/>
            <w:shd w:val="clear" w:color="auto" w:fill="EEEEEE"/>
          </w:tcPr>
          <w:p>
            <w:pPr>
              <w:spacing w:after="0"/>
              <w:rPr>
                <w:sz w:val="20"/>
                <w:szCs w:val="20"/>
                <w:color w:val="auto"/>
              </w:rPr>
            </w:pPr>
            <w:r>
              <w:rPr>
                <w:rFonts w:ascii="Arial" w:cs="Arial" w:eastAsia="Arial" w:hAnsi="Arial"/>
                <w:sz w:val="16"/>
                <w:szCs w:val="16"/>
                <w:i w:val="1"/>
                <w:iCs w:val="1"/>
                <w:color w:val="auto"/>
              </w:rPr>
              <w:t>Segment Profit (Loss)</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Residential</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$152.1</w:t>
            </w:r>
          </w:p>
        </w:tc>
        <w:tc>
          <w:tcPr>
            <w:tcW w:w="180" w:type="dxa"/>
            <w:vAlign w:val="bottom"/>
          </w:tcPr>
          <w:p>
            <w:pPr>
              <w:spacing w:after="0"/>
              <w:rPr>
                <w:sz w:val="16"/>
                <w:szCs w:val="16"/>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$110.4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6"/>
                <w:szCs w:val="16"/>
                <w:color w:val="auto"/>
              </w:rPr>
              <w:t>$ 84.8</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Commercial</w:t>
            </w:r>
          </w:p>
        </w:tc>
        <w:tc>
          <w:tcPr>
            <w:tcW w:w="210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38.0</w:t>
            </w:r>
          </w:p>
        </w:tc>
        <w:tc>
          <w:tcPr>
            <w:tcW w:w="180" w:type="dxa"/>
            <w:vAlign w:val="bottom"/>
            <w:shd w:val="clear" w:color="auto" w:fill="EEEEEE"/>
          </w:tcPr>
          <w:p>
            <w:pPr>
              <w:spacing w:after="0"/>
              <w:rPr>
                <w:sz w:val="16"/>
                <w:szCs w:val="16"/>
                <w:color w:val="auto"/>
              </w:rPr>
            </w:pPr>
          </w:p>
        </w:tc>
        <w:tc>
          <w:tcPr>
            <w:tcW w:w="12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20.8</w:t>
            </w: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40" w:type="dxa"/>
            <w:vAlign w:val="bottom"/>
            <w:gridSpan w:val="8"/>
            <w:shd w:val="clear" w:color="auto" w:fill="EEEEEE"/>
          </w:tcPr>
          <w:p>
            <w:pPr>
              <w:jc w:val="right"/>
              <w:ind w:right="20"/>
              <w:spacing w:after="0"/>
              <w:rPr>
                <w:sz w:val="20"/>
                <w:szCs w:val="20"/>
                <w:color w:val="auto"/>
              </w:rPr>
            </w:pPr>
            <w:r>
              <w:rPr>
                <w:rFonts w:ascii="Arial" w:cs="Arial" w:eastAsia="Arial" w:hAnsi="Arial"/>
                <w:sz w:val="16"/>
                <w:szCs w:val="16"/>
                <w:color w:val="auto"/>
              </w:rPr>
              <w:t>23.3</w:t>
            </w: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74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4940" w:type="dxa"/>
            <w:vAlign w:val="bottom"/>
            <w:gridSpan w:val="2"/>
          </w:tcPr>
          <w:p>
            <w:pPr>
              <w:ind w:left="540"/>
              <w:spacing w:after="0"/>
              <w:rPr>
                <w:sz w:val="20"/>
                <w:szCs w:val="20"/>
                <w:color w:val="auto"/>
              </w:rPr>
            </w:pPr>
            <w:r>
              <w:rPr>
                <w:rFonts w:ascii="Arial" w:cs="Arial" w:eastAsia="Arial" w:hAnsi="Arial"/>
                <w:sz w:val="16"/>
                <w:szCs w:val="16"/>
                <w:color w:val="auto"/>
              </w:rPr>
              <w:t>Heating &amp; Cooling</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190.1</w:t>
            </w:r>
          </w:p>
        </w:tc>
        <w:tc>
          <w:tcPr>
            <w:tcW w:w="180" w:type="dxa"/>
            <w:vAlign w:val="bottom"/>
          </w:tcPr>
          <w:p>
            <w:pPr>
              <w:spacing w:after="0"/>
              <w:rPr>
                <w:sz w:val="24"/>
                <w:szCs w:val="24"/>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131.2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6"/>
                <w:szCs w:val="16"/>
                <w:color w:val="auto"/>
              </w:rPr>
              <w:t>108.1</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Service Experts</w:t>
            </w:r>
          </w:p>
        </w:tc>
        <w:tc>
          <w:tcPr>
            <w:tcW w:w="210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EEEEEE"/>
          </w:tcPr>
          <w:p>
            <w:pPr>
              <w:spacing w:after="0"/>
              <w:rPr>
                <w:sz w:val="16"/>
                <w:szCs w:val="16"/>
                <w:color w:val="auto"/>
              </w:rPr>
            </w:pPr>
          </w:p>
        </w:tc>
        <w:tc>
          <w:tcPr>
            <w:tcW w:w="12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8.0</w:t>
            </w: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620" w:type="dxa"/>
            <w:vAlign w:val="bottom"/>
            <w:gridSpan w:val="9"/>
            <w:shd w:val="clear" w:color="auto" w:fill="EEEEEE"/>
          </w:tcPr>
          <w:p>
            <w:pPr>
              <w:jc w:val="right"/>
              <w:ind w:right="340"/>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Refrigeration</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34.2</w:t>
            </w:r>
          </w:p>
        </w:tc>
        <w:tc>
          <w:tcPr>
            <w:tcW w:w="180" w:type="dxa"/>
            <w:vAlign w:val="bottom"/>
          </w:tcPr>
          <w:p>
            <w:pPr>
              <w:spacing w:after="0"/>
              <w:rPr>
                <w:sz w:val="16"/>
                <w:szCs w:val="16"/>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34.6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6"/>
                <w:szCs w:val="16"/>
                <w:color w:val="auto"/>
              </w:rPr>
              <w:t>26.1</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Corporate and other(a)</w:t>
            </w:r>
          </w:p>
        </w:tc>
        <w:tc>
          <w:tcPr>
            <w:tcW w:w="2280" w:type="dxa"/>
            <w:vAlign w:val="bottom"/>
            <w:gridSpan w:val="5"/>
            <w:shd w:val="clear" w:color="auto" w:fill="EEEEEE"/>
          </w:tcPr>
          <w:p>
            <w:pPr>
              <w:jc w:val="right"/>
              <w:ind w:right="120"/>
              <w:spacing w:after="0"/>
              <w:rPr>
                <w:sz w:val="20"/>
                <w:szCs w:val="20"/>
                <w:color w:val="auto"/>
              </w:rPr>
            </w:pPr>
            <w:r>
              <w:rPr>
                <w:rFonts w:ascii="Arial" w:cs="Arial" w:eastAsia="Arial" w:hAnsi="Arial"/>
                <w:sz w:val="16"/>
                <w:szCs w:val="16"/>
                <w:color w:val="auto"/>
              </w:rPr>
              <w:t>(69.2)</w:t>
            </w:r>
          </w:p>
        </w:tc>
        <w:tc>
          <w:tcPr>
            <w:tcW w:w="1460" w:type="dxa"/>
            <w:vAlign w:val="bottom"/>
            <w:gridSpan w:val="9"/>
            <w:shd w:val="clear" w:color="auto" w:fill="EEEEEE"/>
          </w:tcPr>
          <w:p>
            <w:pPr>
              <w:jc w:val="right"/>
              <w:ind w:right="160"/>
              <w:spacing w:after="0"/>
              <w:rPr>
                <w:sz w:val="20"/>
                <w:szCs w:val="20"/>
                <w:color w:val="auto"/>
              </w:rPr>
            </w:pPr>
            <w:r>
              <w:rPr>
                <w:rFonts w:ascii="Arial" w:cs="Arial" w:eastAsia="Arial" w:hAnsi="Arial"/>
                <w:sz w:val="16"/>
                <w:szCs w:val="16"/>
                <w:color w:val="auto"/>
              </w:rPr>
              <w:t>(64.5)</w:t>
            </w:r>
          </w:p>
        </w:tc>
        <w:tc>
          <w:tcPr>
            <w:tcW w:w="1620" w:type="dxa"/>
            <w:vAlign w:val="bottom"/>
            <w:gridSpan w:val="9"/>
            <w:shd w:val="clear" w:color="auto" w:fill="EEEEEE"/>
          </w:tcPr>
          <w:p>
            <w:pPr>
              <w:jc w:val="right"/>
              <w:ind w:right="340"/>
              <w:spacing w:after="0"/>
              <w:rPr>
                <w:sz w:val="20"/>
                <w:szCs w:val="20"/>
                <w:color w:val="auto"/>
              </w:rPr>
            </w:pPr>
            <w:r>
              <w:rPr>
                <w:rFonts w:ascii="Arial" w:cs="Arial" w:eastAsia="Arial" w:hAnsi="Arial"/>
                <w:sz w:val="16"/>
                <w:szCs w:val="16"/>
                <w:color w:val="auto"/>
              </w:rPr>
              <w:t>(48.9)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Eliminations</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7"/>
                <w:szCs w:val="17"/>
                <w:color w:val="auto"/>
              </w:rPr>
            </w:pPr>
          </w:p>
        </w:tc>
        <w:tc>
          <w:tcPr>
            <w:tcW w:w="1460" w:type="dxa"/>
            <w:vAlign w:val="bottom"/>
            <w:gridSpan w:val="9"/>
          </w:tcPr>
          <w:p>
            <w:pPr>
              <w:jc w:val="right"/>
              <w:ind w:right="160"/>
              <w:spacing w:after="0"/>
              <w:rPr>
                <w:sz w:val="20"/>
                <w:szCs w:val="20"/>
                <w:color w:val="auto"/>
              </w:rPr>
            </w:pPr>
            <w:r>
              <w:rPr>
                <w:rFonts w:ascii="Arial" w:cs="Arial" w:eastAsia="Arial" w:hAnsi="Arial"/>
                <w:sz w:val="16"/>
                <w:szCs w:val="16"/>
                <w:color w:val="auto"/>
              </w:rPr>
              <w:t>(1.3)</w:t>
            </w:r>
          </w:p>
        </w:tc>
        <w:tc>
          <w:tcPr>
            <w:tcW w:w="1620" w:type="dxa"/>
            <w:vAlign w:val="bottom"/>
            <w:gridSpan w:val="9"/>
          </w:tcPr>
          <w:p>
            <w:pPr>
              <w:jc w:val="right"/>
              <w:ind w:right="340"/>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shd w:val="clear" w:color="auto" w:fill="EEEEEE"/>
          </w:tcPr>
          <w:p>
            <w:pPr>
              <w:ind w:left="540"/>
              <w:spacing w:after="0"/>
              <w:rPr>
                <w:sz w:val="20"/>
                <w:szCs w:val="20"/>
                <w:color w:val="auto"/>
              </w:rPr>
            </w:pPr>
            <w:r>
              <w:rPr>
                <w:rFonts w:ascii="Arial" w:cs="Arial" w:eastAsia="Arial" w:hAnsi="Arial"/>
                <w:sz w:val="16"/>
                <w:szCs w:val="16"/>
                <w:color w:val="auto"/>
              </w:rPr>
              <w:t>Segment Profit</w:t>
            </w:r>
          </w:p>
        </w:tc>
        <w:tc>
          <w:tcPr>
            <w:tcW w:w="210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157.6</w:t>
            </w:r>
          </w:p>
        </w:tc>
        <w:tc>
          <w:tcPr>
            <w:tcW w:w="180" w:type="dxa"/>
            <w:vAlign w:val="bottom"/>
            <w:shd w:val="clear" w:color="auto" w:fill="EEEEEE"/>
          </w:tcPr>
          <w:p>
            <w:pPr>
              <w:spacing w:after="0"/>
              <w:rPr>
                <w:sz w:val="16"/>
                <w:szCs w:val="16"/>
                <w:color w:val="auto"/>
              </w:rPr>
            </w:pPr>
          </w:p>
        </w:tc>
        <w:tc>
          <w:tcPr>
            <w:tcW w:w="12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108.0</w:t>
            </w: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240" w:type="dxa"/>
            <w:vAlign w:val="bottom"/>
            <w:gridSpan w:val="8"/>
            <w:shd w:val="clear" w:color="auto" w:fill="EEEEEE"/>
          </w:tcPr>
          <w:p>
            <w:pPr>
              <w:jc w:val="right"/>
              <w:ind w:right="20"/>
              <w:spacing w:after="0"/>
              <w:rPr>
                <w:sz w:val="20"/>
                <w:szCs w:val="20"/>
                <w:color w:val="auto"/>
              </w:rPr>
            </w:pPr>
            <w:r>
              <w:rPr>
                <w:rFonts w:ascii="Arial" w:cs="Arial" w:eastAsia="Arial" w:hAnsi="Arial"/>
                <w:sz w:val="16"/>
                <w:szCs w:val="16"/>
                <w:color w:val="auto"/>
              </w:rPr>
              <w:t>83.3</w:t>
            </w: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w w:val="91"/>
              </w:rPr>
              <w:t>Reconciliation to Income (loss) before income taxes and cumulative effect of</w:t>
            </w: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4940" w:type="dxa"/>
            <w:vAlign w:val="bottom"/>
            <w:gridSpan w:val="2"/>
          </w:tcPr>
          <w:p>
            <w:pPr>
              <w:ind w:left="120"/>
              <w:spacing w:after="0"/>
              <w:rPr>
                <w:sz w:val="20"/>
                <w:szCs w:val="20"/>
                <w:color w:val="auto"/>
              </w:rPr>
            </w:pPr>
            <w:r>
              <w:rPr>
                <w:rFonts w:ascii="Arial" w:cs="Arial" w:eastAsia="Arial" w:hAnsi="Arial"/>
                <w:sz w:val="16"/>
                <w:szCs w:val="16"/>
                <w:color w:val="auto"/>
              </w:rPr>
              <w:t>accounting change:</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Goodwill and trademark amortization</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440" w:type="dxa"/>
            <w:vAlign w:val="bottom"/>
            <w:gridSpan w:val="3"/>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8"/>
            <w:shd w:val="clear" w:color="auto" w:fill="EEEEEE"/>
          </w:tcPr>
          <w:p>
            <w:pPr>
              <w:jc w:val="right"/>
              <w:ind w:right="20"/>
              <w:spacing w:after="0"/>
              <w:rPr>
                <w:sz w:val="20"/>
                <w:szCs w:val="20"/>
                <w:color w:val="auto"/>
              </w:rPr>
            </w:pPr>
            <w:r>
              <w:rPr>
                <w:rFonts w:ascii="Arial" w:cs="Arial" w:eastAsia="Arial" w:hAnsi="Arial"/>
                <w:sz w:val="16"/>
                <w:szCs w:val="16"/>
                <w:color w:val="auto"/>
              </w:rPr>
              <w:t>18.6</w:t>
            </w: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Restructurings</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6"/>
                <w:szCs w:val="16"/>
                <w:color w:val="auto"/>
              </w:rPr>
              <w:t>65.4</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(Gains) losses and other expenses</w:t>
            </w:r>
          </w:p>
        </w:tc>
        <w:tc>
          <w:tcPr>
            <w:tcW w:w="210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EEEEEE"/>
          </w:tcPr>
          <w:p>
            <w:pPr>
              <w:spacing w:after="0"/>
              <w:rPr>
                <w:sz w:val="16"/>
                <w:szCs w:val="16"/>
                <w:color w:val="auto"/>
              </w:rPr>
            </w:pPr>
          </w:p>
        </w:tc>
        <w:tc>
          <w:tcPr>
            <w:tcW w:w="1460" w:type="dxa"/>
            <w:vAlign w:val="bottom"/>
            <w:gridSpan w:val="9"/>
            <w:shd w:val="clear" w:color="auto" w:fill="EEEEEE"/>
          </w:tcPr>
          <w:p>
            <w:pPr>
              <w:jc w:val="right"/>
              <w:ind w:right="160"/>
              <w:spacing w:after="0"/>
              <w:rPr>
                <w:sz w:val="20"/>
                <w:szCs w:val="20"/>
                <w:color w:val="auto"/>
              </w:rPr>
            </w:pPr>
            <w:r>
              <w:rPr>
                <w:rFonts w:ascii="Arial" w:cs="Arial" w:eastAsia="Arial" w:hAnsi="Arial"/>
                <w:sz w:val="16"/>
                <w:szCs w:val="16"/>
                <w:color w:val="auto"/>
              </w:rPr>
              <w:t>(7.9)</w:t>
            </w:r>
          </w:p>
        </w:tc>
        <w:tc>
          <w:tcPr>
            <w:tcW w:w="1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jc w:val="right"/>
              <w:ind w:right="400"/>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tcPr>
          <w:p>
            <w:pPr>
              <w:ind w:left="280"/>
              <w:spacing w:after="0"/>
              <w:rPr>
                <w:sz w:val="20"/>
                <w:szCs w:val="20"/>
                <w:color w:val="auto"/>
              </w:rPr>
            </w:pPr>
            <w:r>
              <w:rPr>
                <w:rFonts w:ascii="Arial" w:cs="Arial" w:eastAsia="Arial" w:hAnsi="Arial"/>
                <w:sz w:val="16"/>
                <w:szCs w:val="16"/>
                <w:color w:val="auto"/>
              </w:rPr>
              <w:t>Interest Expense, net</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6"/>
                <w:szCs w:val="16"/>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31.8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8"/>
          </w:tcPr>
          <w:p>
            <w:pPr>
              <w:jc w:val="right"/>
              <w:ind w:right="20"/>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94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Other (Income) Expense</w:t>
            </w:r>
          </w:p>
        </w:tc>
        <w:tc>
          <w:tcPr>
            <w:tcW w:w="2280" w:type="dxa"/>
            <w:vAlign w:val="bottom"/>
            <w:gridSpan w:val="5"/>
            <w:shd w:val="clear" w:color="auto" w:fill="EEEEEE"/>
          </w:tcPr>
          <w:p>
            <w:pPr>
              <w:jc w:val="right"/>
              <w:ind w:right="120"/>
              <w:spacing w:after="0"/>
              <w:rPr>
                <w:sz w:val="20"/>
                <w:szCs w:val="20"/>
                <w:color w:val="auto"/>
              </w:rPr>
            </w:pPr>
            <w:r>
              <w:rPr>
                <w:rFonts w:ascii="Arial" w:cs="Arial" w:eastAsia="Arial" w:hAnsi="Arial"/>
                <w:sz w:val="16"/>
                <w:szCs w:val="16"/>
                <w:color w:val="auto"/>
              </w:rPr>
              <w:t>(2.5)</w:t>
            </w:r>
          </w:p>
        </w:tc>
        <w:tc>
          <w:tcPr>
            <w:tcW w:w="1460" w:type="dxa"/>
            <w:vAlign w:val="bottom"/>
            <w:gridSpan w:val="9"/>
            <w:shd w:val="clear" w:color="auto" w:fill="EEEEEE"/>
          </w:tcPr>
          <w:p>
            <w:pPr>
              <w:jc w:val="right"/>
              <w:ind w:right="160"/>
              <w:spacing w:after="0"/>
              <w:rPr>
                <w:sz w:val="20"/>
                <w:szCs w:val="20"/>
                <w:color w:val="auto"/>
              </w:rPr>
            </w:pPr>
            <w:r>
              <w:rPr>
                <w:rFonts w:ascii="Arial" w:cs="Arial" w:eastAsia="Arial" w:hAnsi="Arial"/>
                <w:sz w:val="16"/>
                <w:szCs w:val="16"/>
                <w:color w:val="auto"/>
              </w:rPr>
              <w:t>(0.8)</w:t>
            </w:r>
          </w:p>
        </w:tc>
        <w:tc>
          <w:tcPr>
            <w:tcW w:w="1240" w:type="dxa"/>
            <w:vAlign w:val="bottom"/>
            <w:gridSpan w:val="8"/>
            <w:shd w:val="clear" w:color="auto" w:fill="EEEEEE"/>
          </w:tcPr>
          <w:p>
            <w:pPr>
              <w:jc w:val="right"/>
              <w:ind w:right="20"/>
              <w:spacing w:after="0"/>
              <w:rPr>
                <w:sz w:val="20"/>
                <w:szCs w:val="20"/>
                <w:color w:val="auto"/>
              </w:rPr>
            </w:pPr>
            <w:r>
              <w:rPr>
                <w:rFonts w:ascii="Arial" w:cs="Arial" w:eastAsia="Arial" w:hAnsi="Arial"/>
                <w:sz w:val="16"/>
                <w:szCs w:val="16"/>
                <w:color w:val="auto"/>
              </w:rPr>
              <w:t>0.6</w:t>
            </w:r>
          </w:p>
        </w:tc>
        <w:tc>
          <w:tcPr>
            <w:tcW w:w="3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74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$129.7</w:t>
            </w:r>
          </w:p>
        </w:tc>
        <w:tc>
          <w:tcPr>
            <w:tcW w:w="180" w:type="dxa"/>
            <w:vAlign w:val="bottom"/>
          </w:tcPr>
          <w:p>
            <w:pPr>
              <w:spacing w:after="0"/>
              <w:rPr>
                <w:sz w:val="24"/>
                <w:szCs w:val="24"/>
                <w:color w:val="auto"/>
              </w:rPr>
            </w:pPr>
          </w:p>
        </w:tc>
        <w:tc>
          <w:tcPr>
            <w:tcW w:w="1260" w:type="dxa"/>
            <w:vAlign w:val="bottom"/>
            <w:gridSpan w:val="7"/>
          </w:tcPr>
          <w:p>
            <w:pPr>
              <w:jc w:val="right"/>
              <w:spacing w:after="0"/>
              <w:rPr>
                <w:sz w:val="20"/>
                <w:szCs w:val="20"/>
                <w:color w:val="auto"/>
              </w:rPr>
            </w:pPr>
            <w:r>
              <w:rPr>
                <w:rFonts w:ascii="Arial" w:cs="Arial" w:eastAsia="Arial" w:hAnsi="Arial"/>
                <w:sz w:val="16"/>
                <w:szCs w:val="16"/>
                <w:color w:val="auto"/>
              </w:rPr>
              <w:t>$ 77.1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9"/>
          </w:tcPr>
          <w:p>
            <w:pPr>
              <w:jc w:val="right"/>
              <w:ind w:right="340"/>
              <w:spacing w:after="0"/>
              <w:rPr>
                <w:sz w:val="20"/>
                <w:szCs w:val="20"/>
                <w:color w:val="auto"/>
              </w:rPr>
            </w:pPr>
            <w:r>
              <w:rPr>
                <w:rFonts w:ascii="Arial" w:cs="Arial" w:eastAsia="Arial" w:hAnsi="Arial"/>
                <w:sz w:val="16"/>
                <w:szCs w:val="16"/>
                <w:color w:val="auto"/>
              </w:rPr>
              <w:t>$ (44.4)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spacing w:after="0"/>
              <w:rPr>
                <w:sz w:val="11"/>
                <w:szCs w:val="11"/>
                <w:color w:val="auto"/>
              </w:rPr>
            </w:pPr>
          </w:p>
        </w:tc>
        <w:tc>
          <w:tcPr>
            <w:tcW w:w="4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15"/>
          </w:tcPr>
          <w:p>
            <w:pPr>
              <w:jc w:val="right"/>
              <w:ind w:right="1440"/>
              <w:spacing w:after="0"/>
              <w:rPr>
                <w:sz w:val="20"/>
                <w:szCs w:val="20"/>
                <w:color w:val="auto"/>
              </w:rPr>
            </w:pPr>
            <w:r>
              <w:rPr>
                <w:rFonts w:ascii="Arial" w:cs="Arial" w:eastAsia="Arial" w:hAnsi="Arial"/>
                <w:sz w:val="12"/>
                <w:szCs w:val="12"/>
                <w:b w:val="1"/>
                <w:bCs w:val="1"/>
                <w:color w:val="auto"/>
              </w:rPr>
              <w:t>As of 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gridSpan w:val="2"/>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580" w:type="dxa"/>
            <w:vAlign w:val="bottom"/>
            <w:gridSpan w:val="3"/>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8"/>
          </w:tcPr>
          <w:p>
            <w:pPr>
              <w:jc w:val="right"/>
              <w:ind w:right="960"/>
              <w:spacing w:after="0"/>
              <w:rPr>
                <w:sz w:val="20"/>
                <w:szCs w:val="20"/>
                <w:color w:val="auto"/>
              </w:rPr>
            </w:pPr>
            <w:r>
              <w:rPr>
                <w:rFonts w:ascii="Arial" w:cs="Arial" w:eastAsia="Arial" w:hAnsi="Arial"/>
                <w:sz w:val="12"/>
                <w:szCs w:val="12"/>
                <w:b w:val="1"/>
                <w:bCs w:val="1"/>
                <w:color w:val="auto"/>
                <w:w w:val="90"/>
              </w:rPr>
              <w:t>Restated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2002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Total Assets</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Residential</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  461.4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  372.7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6"/>
                <w:szCs w:val="16"/>
                <w:color w:val="auto"/>
              </w:rPr>
              <w:t>Commercial</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212.4</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167.4</w:t>
            </w: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Pr>
          <w:p>
            <w:pPr>
              <w:ind w:left="500"/>
              <w:spacing w:after="0"/>
              <w:rPr>
                <w:sz w:val="20"/>
                <w:szCs w:val="20"/>
                <w:color w:val="auto"/>
              </w:rPr>
            </w:pPr>
            <w:r>
              <w:rPr>
                <w:rFonts w:ascii="Arial" w:cs="Arial" w:eastAsia="Arial" w:hAnsi="Arial"/>
                <w:sz w:val="16"/>
                <w:szCs w:val="16"/>
                <w:color w:val="auto"/>
              </w:rPr>
              <w:t>Heating &amp; Cooling</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673.8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540.1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6"/>
                <w:szCs w:val="16"/>
                <w:color w:val="auto"/>
              </w:rPr>
              <w:t>Service Experts</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487.5</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479.7</w:t>
            </w: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Refrigeration</w:t>
            </w: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318.4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234.8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6"/>
                <w:szCs w:val="16"/>
                <w:color w:val="auto"/>
              </w:rPr>
              <w:t>Corporate and other(a)</w:t>
            </w: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261.8</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268.8</w:t>
            </w: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Eliminations</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gridSpan w:val="3"/>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48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808080"/>
            </w:tcBorders>
          </w:tcPr>
          <w:p>
            <w:pPr>
              <w:spacing w:after="0"/>
              <w:rPr>
                <w:sz w:val="7"/>
                <w:szCs w:val="7"/>
                <w:color w:val="auto"/>
              </w:rPr>
            </w:pPr>
          </w:p>
        </w:tc>
        <w:tc>
          <w:tcPr>
            <w:tcW w:w="180" w:type="dxa"/>
            <w:vAlign w:val="bottom"/>
            <w:tcBorders>
              <w:top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6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6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$1,726.6</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$1,507.6</w:t>
            </w: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60" w:type="dxa"/>
            <w:vAlign w:val="bottom"/>
            <w:vMerge w:val="restart"/>
          </w:tcPr>
          <w:p>
            <w:pPr>
              <w:jc w:val="right"/>
              <w:ind w:right="984"/>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436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-2602230</wp:posOffset>
            </wp:positionV>
            <wp:extent cx="1270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-2602230</wp:posOffset>
            </wp:positionV>
            <wp:extent cx="12700"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-2602230</wp:posOffset>
            </wp:positionV>
            <wp:extent cx="12700"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5507990</wp:posOffset>
            </wp:positionH>
            <wp:positionV relativeFrom="paragraph">
              <wp:posOffset>-2602230</wp:posOffset>
            </wp:positionV>
            <wp:extent cx="12700"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-2602230</wp:posOffset>
            </wp:positionV>
            <wp:extent cx="1270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-2602230</wp:posOffset>
            </wp:positionV>
            <wp:extent cx="1270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-473710</wp:posOffset>
            </wp:positionV>
            <wp:extent cx="1270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-473710</wp:posOffset>
            </wp:positionV>
            <wp:extent cx="1270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-473710</wp:posOffset>
            </wp:positionV>
            <wp:extent cx="12700"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-473710</wp:posOffset>
            </wp:positionV>
            <wp:extent cx="1270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56" w:name="page57"/>
    <w:bookmarkEnd w:id="56"/>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8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12"/>
          </w:tcPr>
          <w:p>
            <w:pPr>
              <w:jc w:val="center"/>
              <w:ind w:right="180"/>
              <w:spacing w:after="0"/>
              <w:rPr>
                <w:sz w:val="20"/>
                <w:szCs w:val="20"/>
                <w:color w:val="auto"/>
              </w:rPr>
            </w:pPr>
            <w:r>
              <w:rPr>
                <w:rFonts w:ascii="Arial" w:cs="Arial" w:eastAsia="Arial" w:hAnsi="Arial"/>
                <w:sz w:val="12"/>
                <w:szCs w:val="12"/>
                <w:b w:val="1"/>
                <w:bCs w:val="1"/>
                <w:color w:val="auto"/>
                <w:w w:val="89"/>
              </w:rPr>
              <w:t>For the Years 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4"/>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11"/>
          </w:tcPr>
          <w:p>
            <w:pPr>
              <w:jc w:val="center"/>
              <w:ind w:right="360"/>
              <w:spacing w:after="0"/>
              <w:rPr>
                <w:sz w:val="20"/>
                <w:szCs w:val="20"/>
                <w:color w:val="auto"/>
              </w:rPr>
            </w:pPr>
            <w:r>
              <w:rPr>
                <w:rFonts w:ascii="Arial" w:cs="Arial" w:eastAsia="Arial" w:hAnsi="Arial"/>
                <w:sz w:val="12"/>
                <w:szCs w:val="12"/>
                <w:b w:val="1"/>
                <w:bCs w:val="1"/>
                <w:color w:val="auto"/>
                <w:w w:val="87"/>
              </w:rPr>
              <w:t>December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83"/>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r>
      <w:tr>
        <w:trPr>
          <w:trHeight w:val="208"/>
        </w:trPr>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10"/>
          </w:tcPr>
          <w:p>
            <w:pPr>
              <w:jc w:val="center"/>
              <w:ind w:right="540"/>
              <w:spacing w:after="0"/>
              <w:rPr>
                <w:sz w:val="20"/>
                <w:szCs w:val="20"/>
                <w:color w:val="auto"/>
              </w:rPr>
            </w:pPr>
            <w:r>
              <w:rPr>
                <w:rFonts w:ascii="Arial" w:cs="Arial" w:eastAsia="Arial" w:hAnsi="Arial"/>
                <w:sz w:val="12"/>
                <w:szCs w:val="12"/>
                <w:b w:val="1"/>
                <w:bCs w:val="1"/>
                <w:color w:val="auto"/>
                <w:w w:val="86"/>
              </w:rPr>
              <w:t>Restated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54"/>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83"/>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r>
      <w:tr>
        <w:trPr>
          <w:trHeight w:val="87"/>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spacing w:after="0"/>
              <w:rPr>
                <w:sz w:val="20"/>
                <w:szCs w:val="20"/>
                <w:color w:val="auto"/>
              </w:rPr>
            </w:pPr>
            <w:r>
              <w:rPr>
                <w:rFonts w:ascii="Arial" w:cs="Arial" w:eastAsia="Arial" w:hAnsi="Arial"/>
                <w:sz w:val="16"/>
                <w:szCs w:val="16"/>
                <w:i w:val="1"/>
                <w:iCs w:val="1"/>
                <w:color w:val="auto"/>
              </w:rPr>
              <w:t>Capital Expenditures</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tcPr>
          <w:p>
            <w:pPr>
              <w:ind w:left="260"/>
              <w:spacing w:after="0"/>
              <w:rPr>
                <w:sz w:val="20"/>
                <w:szCs w:val="20"/>
                <w:color w:val="auto"/>
              </w:rPr>
            </w:pPr>
            <w:r>
              <w:rPr>
                <w:rFonts w:ascii="Arial" w:cs="Arial" w:eastAsia="Arial" w:hAnsi="Arial"/>
                <w:sz w:val="16"/>
                <w:szCs w:val="16"/>
                <w:color w:val="auto"/>
              </w:rPr>
              <w:t>Residential</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$19.8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7"/>
          </w:tcPr>
          <w:p>
            <w:pPr>
              <w:jc w:val="right"/>
              <w:ind w:right="20"/>
              <w:spacing w:after="0"/>
              <w:rPr>
                <w:sz w:val="20"/>
                <w:szCs w:val="20"/>
                <w:color w:val="auto"/>
              </w:rPr>
            </w:pPr>
            <w:r>
              <w:rPr>
                <w:rFonts w:ascii="Arial" w:cs="Arial" w:eastAsia="Arial" w:hAnsi="Arial"/>
                <w:sz w:val="16"/>
                <w:szCs w:val="16"/>
                <w:color w:val="auto"/>
              </w:rPr>
              <w:t>$ 8.6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$ 7.3</w:t>
            </w:r>
          </w:p>
        </w:tc>
        <w:tc>
          <w:tcPr>
            <w:tcW w:w="16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Commercial</w:t>
            </w:r>
          </w:p>
        </w:tc>
        <w:tc>
          <w:tcPr>
            <w:tcW w:w="5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8.5</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900" w:type="dxa"/>
            <w:vAlign w:val="bottom"/>
            <w:gridSpan w:val="7"/>
            <w:shd w:val="clear" w:color="auto" w:fill="EEEEEE"/>
          </w:tcPr>
          <w:p>
            <w:pPr>
              <w:jc w:val="right"/>
              <w:ind w:right="20"/>
              <w:spacing w:after="0"/>
              <w:rPr>
                <w:sz w:val="20"/>
                <w:szCs w:val="20"/>
                <w:color w:val="auto"/>
              </w:rPr>
            </w:pPr>
            <w:r>
              <w:rPr>
                <w:rFonts w:ascii="Arial" w:cs="Arial" w:eastAsia="Arial" w:hAnsi="Arial"/>
                <w:sz w:val="16"/>
                <w:szCs w:val="16"/>
                <w:color w:val="auto"/>
              </w:rPr>
              <w:t>3.0</w:t>
            </w:r>
          </w:p>
        </w:tc>
        <w:tc>
          <w:tcPr>
            <w:tcW w:w="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EEEEEE"/>
          </w:tcPr>
          <w:p>
            <w:pPr>
              <w:spacing w:after="0"/>
              <w:rPr>
                <w:sz w:val="16"/>
                <w:szCs w:val="16"/>
                <w:color w:val="auto"/>
              </w:rPr>
            </w:pPr>
          </w:p>
        </w:tc>
      </w:tr>
      <w:tr>
        <w:trPr>
          <w:trHeight w:val="95"/>
        </w:trPr>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77"/>
        </w:trPr>
        <w:tc>
          <w:tcPr>
            <w:tcW w:w="1140" w:type="dxa"/>
            <w:vAlign w:val="bottom"/>
          </w:tcPr>
          <w:p>
            <w:pPr>
              <w:spacing w:after="0"/>
              <w:rPr>
                <w:sz w:val="24"/>
                <w:szCs w:val="24"/>
                <w:color w:val="auto"/>
              </w:rPr>
            </w:pPr>
          </w:p>
        </w:tc>
        <w:tc>
          <w:tcPr>
            <w:tcW w:w="6220" w:type="dxa"/>
            <w:vAlign w:val="bottom"/>
            <w:gridSpan w:val="2"/>
          </w:tcPr>
          <w:p>
            <w:pPr>
              <w:ind w:left="500"/>
              <w:spacing w:after="0"/>
              <w:rPr>
                <w:sz w:val="20"/>
                <w:szCs w:val="20"/>
                <w:color w:val="auto"/>
              </w:rPr>
            </w:pPr>
            <w:r>
              <w:rPr>
                <w:rFonts w:ascii="Arial" w:cs="Arial" w:eastAsia="Arial" w:hAnsi="Arial"/>
                <w:sz w:val="16"/>
                <w:szCs w:val="16"/>
                <w:color w:val="auto"/>
              </w:rPr>
              <w:t>Heating &amp; Cooling</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28.3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7"/>
          </w:tcPr>
          <w:p>
            <w:pPr>
              <w:jc w:val="right"/>
              <w:ind w:right="20"/>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Service Experts</w:t>
            </w:r>
          </w:p>
        </w:tc>
        <w:tc>
          <w:tcPr>
            <w:tcW w:w="5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900" w:type="dxa"/>
            <w:vAlign w:val="bottom"/>
            <w:gridSpan w:val="7"/>
            <w:shd w:val="clear" w:color="auto" w:fill="EEEEEE"/>
          </w:tcPr>
          <w:p>
            <w:pPr>
              <w:jc w:val="right"/>
              <w:ind w:right="20"/>
              <w:spacing w:after="0"/>
              <w:rPr>
                <w:sz w:val="20"/>
                <w:szCs w:val="20"/>
                <w:color w:val="auto"/>
              </w:rPr>
            </w:pPr>
            <w:r>
              <w:rPr>
                <w:rFonts w:ascii="Arial" w:cs="Arial" w:eastAsia="Arial" w:hAnsi="Arial"/>
                <w:sz w:val="16"/>
                <w:szCs w:val="16"/>
                <w:color w:val="auto"/>
              </w:rPr>
              <w:t>0.7</w:t>
            </w:r>
          </w:p>
        </w:tc>
        <w:tc>
          <w:tcPr>
            <w:tcW w:w="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1.6</w:t>
            </w:r>
          </w:p>
        </w:tc>
        <w:tc>
          <w:tcPr>
            <w:tcW w:w="160" w:type="dxa"/>
            <w:vAlign w:val="bottom"/>
            <w:shd w:val="clear" w:color="auto" w:fill="EEEEEE"/>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tcPr>
          <w:p>
            <w:pPr>
              <w:ind w:left="260"/>
              <w:spacing w:after="0"/>
              <w:rPr>
                <w:sz w:val="20"/>
                <w:szCs w:val="20"/>
                <w:color w:val="auto"/>
              </w:rPr>
            </w:pPr>
            <w:r>
              <w:rPr>
                <w:rFonts w:ascii="Arial" w:cs="Arial" w:eastAsia="Arial" w:hAnsi="Arial"/>
                <w:sz w:val="16"/>
                <w:szCs w:val="16"/>
                <w:color w:val="auto"/>
              </w:rPr>
              <w:t>Refrigeration</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7"/>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Corporate and other(a)</w:t>
            </w:r>
          </w:p>
        </w:tc>
        <w:tc>
          <w:tcPr>
            <w:tcW w:w="5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900" w:type="dxa"/>
            <w:vAlign w:val="bottom"/>
            <w:gridSpan w:val="7"/>
            <w:shd w:val="clear" w:color="auto" w:fill="EEEEEE"/>
          </w:tcPr>
          <w:p>
            <w:pPr>
              <w:jc w:val="right"/>
              <w:ind w:right="20"/>
              <w:spacing w:after="0"/>
              <w:rPr>
                <w:sz w:val="20"/>
                <w:szCs w:val="20"/>
                <w:color w:val="auto"/>
              </w:rPr>
            </w:pPr>
            <w:r>
              <w:rPr>
                <w:rFonts w:ascii="Arial" w:cs="Arial" w:eastAsia="Arial" w:hAnsi="Arial"/>
                <w:sz w:val="16"/>
                <w:szCs w:val="16"/>
                <w:color w:val="auto"/>
              </w:rPr>
              <w:t>6.2</w:t>
            </w:r>
          </w:p>
        </w:tc>
        <w:tc>
          <w:tcPr>
            <w:tcW w:w="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5.1</w:t>
            </w:r>
          </w:p>
        </w:tc>
        <w:tc>
          <w:tcPr>
            <w:tcW w:w="160" w:type="dxa"/>
            <w:vAlign w:val="bottom"/>
            <w:shd w:val="clear" w:color="auto" w:fill="EEEEEE"/>
          </w:tcPr>
          <w:p>
            <w:pPr>
              <w:spacing w:after="0"/>
              <w:rPr>
                <w:sz w:val="16"/>
                <w:szCs w:val="16"/>
                <w:color w:val="auto"/>
              </w:rPr>
            </w:pPr>
          </w:p>
        </w:tc>
      </w:tr>
      <w:tr>
        <w:trPr>
          <w:trHeight w:val="95"/>
        </w:trPr>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7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$41.2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7"/>
          </w:tcPr>
          <w:p>
            <w:pPr>
              <w:jc w:val="right"/>
              <w:ind w:right="20"/>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24"/>
                <w:szCs w:val="24"/>
                <w:color w:val="auto"/>
              </w:rPr>
            </w:pPr>
          </w:p>
        </w:tc>
      </w:tr>
      <w:tr>
        <w:trPr>
          <w:trHeight w:val="129"/>
        </w:trPr>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gridSpan w:val="2"/>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r>
      <w:tr>
        <w:trPr>
          <w:trHeight w:val="402"/>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11"/>
          </w:tcPr>
          <w:p>
            <w:pPr>
              <w:jc w:val="center"/>
              <w:ind w:right="100"/>
              <w:spacing w:after="0"/>
              <w:rPr>
                <w:sz w:val="20"/>
                <w:szCs w:val="20"/>
                <w:color w:val="auto"/>
              </w:rPr>
            </w:pPr>
            <w:r>
              <w:rPr>
                <w:rFonts w:ascii="Arial" w:cs="Arial" w:eastAsia="Arial" w:hAnsi="Arial"/>
                <w:sz w:val="12"/>
                <w:szCs w:val="12"/>
                <w:b w:val="1"/>
                <w:bCs w:val="1"/>
                <w:color w:val="auto"/>
                <w:w w:val="90"/>
              </w:rPr>
              <w:t>For the Years Ended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4"/>
        </w:trPr>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10"/>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83"/>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3"/>
          </w:tcPr>
          <w:p>
            <w:pPr>
              <w:spacing w:after="0"/>
              <w:rPr>
                <w:sz w:val="7"/>
                <w:szCs w:val="7"/>
                <w:color w:val="auto"/>
              </w:rPr>
            </w:pPr>
          </w:p>
        </w:tc>
        <w:tc>
          <w:tcPr>
            <w:tcW w:w="440" w:type="dxa"/>
            <w:vAlign w:val="bottom"/>
            <w:tcBorders>
              <w:bottom w:val="single" w:sz="8" w:color="808080"/>
            </w:tcBorders>
            <w:gridSpan w:val="2"/>
          </w:tcPr>
          <w:p>
            <w:pPr>
              <w:spacing w:after="0"/>
              <w:rPr>
                <w:sz w:val="7"/>
                <w:szCs w:val="7"/>
                <w:color w:val="auto"/>
              </w:rPr>
            </w:pPr>
          </w:p>
        </w:tc>
        <w:tc>
          <w:tcPr>
            <w:tcW w:w="260" w:type="dxa"/>
            <w:vAlign w:val="bottom"/>
            <w:tcBorders>
              <w:bottom w:val="single" w:sz="8" w:color="808080"/>
            </w:tcBorders>
            <w:gridSpan w:val="3"/>
          </w:tcPr>
          <w:p>
            <w:pPr>
              <w:spacing w:after="0"/>
              <w:rPr>
                <w:sz w:val="7"/>
                <w:szCs w:val="7"/>
                <w:color w:val="auto"/>
              </w:rPr>
            </w:pPr>
          </w:p>
        </w:tc>
        <w:tc>
          <w:tcPr>
            <w:tcW w:w="280" w:type="dxa"/>
            <w:vAlign w:val="bottom"/>
            <w:tcBorders>
              <w:bottom w:val="single" w:sz="8" w:color="808080"/>
            </w:tcBorders>
            <w:gridSpan w:val="3"/>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gridSpan w:val="3"/>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r>
      <w:tr>
        <w:trPr>
          <w:trHeight w:val="231"/>
        </w:trPr>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800" w:type="dxa"/>
            <w:vAlign w:val="bottom"/>
            <w:gridSpan w:val="6"/>
          </w:tcPr>
          <w:p>
            <w:pPr>
              <w:jc w:val="right"/>
              <w:ind w:right="60"/>
              <w:spacing w:after="0"/>
              <w:rPr>
                <w:sz w:val="20"/>
                <w:szCs w:val="20"/>
                <w:color w:val="auto"/>
              </w:rPr>
            </w:pPr>
            <w:r>
              <w:rPr>
                <w:rFonts w:ascii="Arial" w:cs="Arial" w:eastAsia="Arial" w:hAnsi="Arial"/>
                <w:sz w:val="12"/>
                <w:szCs w:val="12"/>
                <w:b w:val="1"/>
                <w:bCs w:val="1"/>
                <w:color w:val="auto"/>
              </w:rPr>
              <w:t>2003</w:t>
            </w:r>
          </w:p>
        </w:tc>
        <w:tc>
          <w:tcPr>
            <w:tcW w:w="980" w:type="dxa"/>
            <w:vAlign w:val="bottom"/>
            <w:gridSpan w:val="8"/>
          </w:tcPr>
          <w:p>
            <w:pPr>
              <w:jc w:val="center"/>
              <w:ind w:left="546"/>
              <w:spacing w:after="0"/>
              <w:rPr>
                <w:sz w:val="20"/>
                <w:szCs w:val="20"/>
                <w:color w:val="auto"/>
              </w:rPr>
            </w:pPr>
            <w:r>
              <w:rPr>
                <w:rFonts w:ascii="Arial" w:cs="Arial" w:eastAsia="Arial" w:hAnsi="Arial"/>
                <w:sz w:val="12"/>
                <w:szCs w:val="12"/>
                <w:b w:val="1"/>
                <w:bCs w:val="1"/>
                <w:color w:val="auto"/>
                <w:w w:val="89"/>
              </w:rPr>
              <w:t>2002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3"/>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r>
      <w:tr>
        <w:trPr>
          <w:trHeight w:val="87"/>
        </w:trPr>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spacing w:after="0"/>
              <w:rPr>
                <w:sz w:val="20"/>
                <w:szCs w:val="20"/>
                <w:color w:val="auto"/>
              </w:rPr>
            </w:pPr>
            <w:r>
              <w:rPr>
                <w:rFonts w:ascii="Arial" w:cs="Arial" w:eastAsia="Arial" w:hAnsi="Arial"/>
                <w:sz w:val="16"/>
                <w:szCs w:val="16"/>
                <w:i w:val="1"/>
                <w:iCs w:val="1"/>
                <w:color w:val="auto"/>
              </w:rPr>
              <w:t>Depreciation and Amortization</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tcPr>
          <w:p>
            <w:pPr>
              <w:ind w:left="260"/>
              <w:spacing w:after="0"/>
              <w:rPr>
                <w:sz w:val="20"/>
                <w:szCs w:val="20"/>
                <w:color w:val="auto"/>
              </w:rPr>
            </w:pPr>
            <w:r>
              <w:rPr>
                <w:rFonts w:ascii="Arial" w:cs="Arial" w:eastAsia="Arial" w:hAnsi="Arial"/>
                <w:sz w:val="16"/>
                <w:szCs w:val="16"/>
                <w:color w:val="auto"/>
              </w:rPr>
              <w:t>Residential</w:t>
            </w:r>
          </w:p>
        </w:tc>
        <w:tc>
          <w:tcPr>
            <w:tcW w:w="800" w:type="dxa"/>
            <w:vAlign w:val="bottom"/>
            <w:gridSpan w:val="6"/>
          </w:tcPr>
          <w:p>
            <w:pPr>
              <w:jc w:val="right"/>
              <w:spacing w:after="0"/>
              <w:rPr>
                <w:sz w:val="20"/>
                <w:szCs w:val="20"/>
                <w:color w:val="auto"/>
              </w:rPr>
            </w:pPr>
            <w:r>
              <w:rPr>
                <w:rFonts w:ascii="Arial" w:cs="Arial" w:eastAsia="Arial" w:hAnsi="Arial"/>
                <w:sz w:val="16"/>
                <w:szCs w:val="16"/>
                <w:color w:val="auto"/>
              </w:rPr>
              <w:t>$16.8</w:t>
            </w:r>
          </w:p>
        </w:tc>
        <w:tc>
          <w:tcPr>
            <w:tcW w:w="980" w:type="dxa"/>
            <w:vAlign w:val="bottom"/>
            <w:gridSpan w:val="8"/>
          </w:tcPr>
          <w:p>
            <w:pPr>
              <w:jc w:val="right"/>
              <w:spacing w:after="0"/>
              <w:rPr>
                <w:sz w:val="20"/>
                <w:szCs w:val="20"/>
                <w:color w:val="auto"/>
              </w:rPr>
            </w:pPr>
            <w:r>
              <w:rPr>
                <w:rFonts w:ascii="Arial" w:cs="Arial" w:eastAsia="Arial" w:hAnsi="Arial"/>
                <w:sz w:val="16"/>
                <w:szCs w:val="16"/>
                <w:color w:val="auto"/>
              </w:rPr>
              <w:t>$17.2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$22.4</w:t>
            </w:r>
          </w:p>
        </w:tc>
        <w:tc>
          <w:tcPr>
            <w:tcW w:w="16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Commercial</w:t>
            </w:r>
          </w:p>
        </w:tc>
        <w:tc>
          <w:tcPr>
            <w:tcW w:w="80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4.9</w:t>
            </w:r>
          </w:p>
        </w:tc>
        <w:tc>
          <w:tcPr>
            <w:tcW w:w="98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6.5</w:t>
            </w:r>
          </w:p>
        </w:tc>
        <w:tc>
          <w:tcPr>
            <w:tcW w:w="160" w:type="dxa"/>
            <w:vAlign w:val="bottom"/>
            <w:shd w:val="clear" w:color="auto" w:fill="EEEEEE"/>
          </w:tcPr>
          <w:p>
            <w:pPr>
              <w:spacing w:after="0"/>
              <w:rPr>
                <w:sz w:val="16"/>
                <w:szCs w:val="16"/>
                <w:color w:val="auto"/>
              </w:rPr>
            </w:pPr>
          </w:p>
        </w:tc>
      </w:tr>
      <w:tr>
        <w:trPr>
          <w:trHeight w:val="95"/>
        </w:trPr>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280" w:type="dxa"/>
            <w:vAlign w:val="bottom"/>
            <w:tcBorders>
              <w:bottom w:val="single" w:sz="8" w:color="808080"/>
            </w:tcBorders>
            <w:gridSpan w:val="3"/>
          </w:tcPr>
          <w:p>
            <w:pPr>
              <w:spacing w:after="0"/>
              <w:rPr>
                <w:sz w:val="8"/>
                <w:szCs w:val="8"/>
                <w:color w:val="auto"/>
              </w:rPr>
            </w:pPr>
          </w:p>
        </w:tc>
        <w:tc>
          <w:tcPr>
            <w:tcW w:w="700" w:type="dxa"/>
            <w:vAlign w:val="bottom"/>
            <w:gridSpan w:val="5"/>
          </w:tcPr>
          <w:p>
            <w:pPr>
              <w:spacing w:after="0"/>
              <w:rPr>
                <w:sz w:val="8"/>
                <w:szCs w:val="8"/>
                <w:color w:val="auto"/>
              </w:rPr>
            </w:pPr>
          </w:p>
        </w:tc>
        <w:tc>
          <w:tcPr>
            <w:tcW w:w="28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77"/>
        </w:trPr>
        <w:tc>
          <w:tcPr>
            <w:tcW w:w="1140" w:type="dxa"/>
            <w:vAlign w:val="bottom"/>
          </w:tcPr>
          <w:p>
            <w:pPr>
              <w:spacing w:after="0"/>
              <w:rPr>
                <w:sz w:val="24"/>
                <w:szCs w:val="24"/>
                <w:color w:val="auto"/>
              </w:rPr>
            </w:pPr>
          </w:p>
        </w:tc>
        <w:tc>
          <w:tcPr>
            <w:tcW w:w="6220" w:type="dxa"/>
            <w:vAlign w:val="bottom"/>
            <w:gridSpan w:val="2"/>
          </w:tcPr>
          <w:p>
            <w:pPr>
              <w:ind w:left="500"/>
              <w:spacing w:after="0"/>
              <w:rPr>
                <w:sz w:val="20"/>
                <w:szCs w:val="20"/>
                <w:color w:val="auto"/>
              </w:rPr>
            </w:pPr>
            <w:r>
              <w:rPr>
                <w:rFonts w:ascii="Arial" w:cs="Arial" w:eastAsia="Arial" w:hAnsi="Arial"/>
                <w:sz w:val="16"/>
                <w:szCs w:val="16"/>
                <w:color w:val="auto"/>
              </w:rPr>
              <w:t>Heating &amp; Cooling</w:t>
            </w:r>
          </w:p>
        </w:tc>
        <w:tc>
          <w:tcPr>
            <w:tcW w:w="800" w:type="dxa"/>
            <w:vAlign w:val="bottom"/>
            <w:gridSpan w:val="6"/>
          </w:tcPr>
          <w:p>
            <w:pPr>
              <w:jc w:val="right"/>
              <w:spacing w:after="0"/>
              <w:rPr>
                <w:sz w:val="20"/>
                <w:szCs w:val="20"/>
                <w:color w:val="auto"/>
              </w:rPr>
            </w:pPr>
            <w:r>
              <w:rPr>
                <w:rFonts w:ascii="Arial" w:cs="Arial" w:eastAsia="Arial" w:hAnsi="Arial"/>
                <w:sz w:val="16"/>
                <w:szCs w:val="16"/>
                <w:color w:val="auto"/>
              </w:rPr>
              <w:t>21.7</w:t>
            </w:r>
          </w:p>
        </w:tc>
        <w:tc>
          <w:tcPr>
            <w:tcW w:w="980" w:type="dxa"/>
            <w:vAlign w:val="bottom"/>
            <w:gridSpan w:val="8"/>
          </w:tcPr>
          <w:p>
            <w:pPr>
              <w:jc w:val="right"/>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Service Experts</w:t>
            </w:r>
          </w:p>
        </w:tc>
        <w:tc>
          <w:tcPr>
            <w:tcW w:w="80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8.3</w:t>
            </w:r>
          </w:p>
        </w:tc>
        <w:tc>
          <w:tcPr>
            <w:tcW w:w="98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24.7</w:t>
            </w:r>
          </w:p>
        </w:tc>
        <w:tc>
          <w:tcPr>
            <w:tcW w:w="160" w:type="dxa"/>
            <w:vAlign w:val="bottom"/>
            <w:shd w:val="clear" w:color="auto" w:fill="EEEEEE"/>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tcPr>
          <w:p>
            <w:pPr>
              <w:ind w:left="260"/>
              <w:spacing w:after="0"/>
              <w:rPr>
                <w:sz w:val="20"/>
                <w:szCs w:val="20"/>
                <w:color w:val="auto"/>
              </w:rPr>
            </w:pPr>
            <w:r>
              <w:rPr>
                <w:rFonts w:ascii="Arial" w:cs="Arial" w:eastAsia="Arial" w:hAnsi="Arial"/>
                <w:sz w:val="16"/>
                <w:szCs w:val="16"/>
                <w:color w:val="auto"/>
              </w:rPr>
              <w:t>Refrigeration</w:t>
            </w:r>
          </w:p>
        </w:tc>
        <w:tc>
          <w:tcPr>
            <w:tcW w:w="800" w:type="dxa"/>
            <w:vAlign w:val="bottom"/>
            <w:gridSpan w:val="6"/>
          </w:tcPr>
          <w:p>
            <w:pPr>
              <w:jc w:val="right"/>
              <w:spacing w:after="0"/>
              <w:rPr>
                <w:sz w:val="20"/>
                <w:szCs w:val="20"/>
                <w:color w:val="auto"/>
              </w:rPr>
            </w:pPr>
            <w:r>
              <w:rPr>
                <w:rFonts w:ascii="Arial" w:cs="Arial" w:eastAsia="Arial" w:hAnsi="Arial"/>
                <w:sz w:val="16"/>
                <w:szCs w:val="16"/>
                <w:color w:val="auto"/>
              </w:rPr>
              <w:t>8.4</w:t>
            </w:r>
          </w:p>
        </w:tc>
        <w:tc>
          <w:tcPr>
            <w:tcW w:w="980" w:type="dxa"/>
            <w:vAlign w:val="bottom"/>
            <w:gridSpan w:val="8"/>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11.3</w:t>
            </w:r>
          </w:p>
        </w:tc>
        <w:tc>
          <w:tcPr>
            <w:tcW w:w="160" w:type="dxa"/>
            <w:vAlign w:val="bottom"/>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62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Corporate and other(a)</w:t>
            </w:r>
          </w:p>
        </w:tc>
        <w:tc>
          <w:tcPr>
            <w:tcW w:w="80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10.3</w:t>
            </w:r>
          </w:p>
        </w:tc>
        <w:tc>
          <w:tcPr>
            <w:tcW w:w="98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EEEEEE"/>
          </w:tcPr>
          <w:p>
            <w:pPr>
              <w:spacing w:after="0"/>
              <w:rPr>
                <w:sz w:val="16"/>
                <w:szCs w:val="16"/>
                <w:color w:val="auto"/>
              </w:rPr>
            </w:pPr>
          </w:p>
        </w:tc>
      </w:tr>
      <w:tr>
        <w:trPr>
          <w:trHeight w:val="95"/>
        </w:trPr>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280" w:type="dxa"/>
            <w:vAlign w:val="bottom"/>
            <w:tcBorders>
              <w:bottom w:val="single" w:sz="8" w:color="808080"/>
            </w:tcBorders>
            <w:gridSpan w:val="3"/>
          </w:tcPr>
          <w:p>
            <w:pPr>
              <w:spacing w:after="0"/>
              <w:rPr>
                <w:sz w:val="8"/>
                <w:szCs w:val="8"/>
                <w:color w:val="auto"/>
              </w:rPr>
            </w:pPr>
          </w:p>
        </w:tc>
        <w:tc>
          <w:tcPr>
            <w:tcW w:w="700" w:type="dxa"/>
            <w:vAlign w:val="bottom"/>
            <w:gridSpan w:val="5"/>
          </w:tcPr>
          <w:p>
            <w:pPr>
              <w:spacing w:after="0"/>
              <w:rPr>
                <w:sz w:val="8"/>
                <w:szCs w:val="8"/>
                <w:color w:val="auto"/>
              </w:rPr>
            </w:pPr>
          </w:p>
        </w:tc>
        <w:tc>
          <w:tcPr>
            <w:tcW w:w="28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7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0" w:type="dxa"/>
            <w:vAlign w:val="bottom"/>
            <w:gridSpan w:val="6"/>
          </w:tcPr>
          <w:p>
            <w:pPr>
              <w:jc w:val="right"/>
              <w:spacing w:after="0"/>
              <w:rPr>
                <w:sz w:val="20"/>
                <w:szCs w:val="20"/>
                <w:color w:val="auto"/>
              </w:rPr>
            </w:pPr>
            <w:r>
              <w:rPr>
                <w:rFonts w:ascii="Arial" w:cs="Arial" w:eastAsia="Arial" w:hAnsi="Arial"/>
                <w:sz w:val="16"/>
                <w:szCs w:val="16"/>
                <w:color w:val="auto"/>
              </w:rPr>
              <w:t>$48.7</w:t>
            </w:r>
          </w:p>
        </w:tc>
        <w:tc>
          <w:tcPr>
            <w:tcW w:w="980" w:type="dxa"/>
            <w:vAlign w:val="bottom"/>
            <w:gridSpan w:val="8"/>
          </w:tcPr>
          <w:p>
            <w:pPr>
              <w:jc w:val="right"/>
              <w:spacing w:after="0"/>
              <w:rPr>
                <w:sz w:val="20"/>
                <w:szCs w:val="20"/>
                <w:color w:val="auto"/>
              </w:rPr>
            </w:pPr>
            <w:r>
              <w:rPr>
                <w:rFonts w:ascii="Arial" w:cs="Arial" w:eastAsia="Arial" w:hAnsi="Arial"/>
                <w:sz w:val="16"/>
                <w:szCs w:val="16"/>
                <w:color w:val="auto"/>
              </w:rPr>
              <w:t>$56.7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$82.5</w:t>
            </w:r>
          </w:p>
        </w:tc>
        <w:tc>
          <w:tcPr>
            <w:tcW w:w="160" w:type="dxa"/>
            <w:vAlign w:val="bottom"/>
          </w:tcPr>
          <w:p>
            <w:pPr>
              <w:spacing w:after="0"/>
              <w:rPr>
                <w:sz w:val="24"/>
                <w:szCs w:val="24"/>
                <w:color w:val="auto"/>
              </w:rPr>
            </w:pPr>
          </w:p>
        </w:tc>
      </w:tr>
      <w:tr>
        <w:trPr>
          <w:trHeight w:val="129"/>
        </w:trPr>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r>
      <w:tr>
        <w:trPr>
          <w:trHeight w:val="282"/>
        </w:trPr>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-2228215</wp:posOffset>
            </wp:positionV>
            <wp:extent cx="12700"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4836795</wp:posOffset>
            </wp:positionH>
            <wp:positionV relativeFrom="paragraph">
              <wp:posOffset>-2228215</wp:posOffset>
            </wp:positionV>
            <wp:extent cx="12700"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-2228215</wp:posOffset>
            </wp:positionV>
            <wp:extent cx="12700"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-2228215</wp:posOffset>
            </wp:positionV>
            <wp:extent cx="12700"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-2228215</wp:posOffset>
            </wp:positionV>
            <wp:extent cx="12700"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-2228215</wp:posOffset>
            </wp:positionV>
            <wp:extent cx="12700"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-221615</wp:posOffset>
            </wp:positionV>
            <wp:extent cx="1270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-221615</wp:posOffset>
            </wp:positionV>
            <wp:extent cx="1270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5790565</wp:posOffset>
            </wp:positionH>
            <wp:positionV relativeFrom="paragraph">
              <wp:posOffset>-221615</wp:posOffset>
            </wp:positionV>
            <wp:extent cx="1270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-221615</wp:posOffset>
            </wp:positionV>
            <wp:extent cx="12700"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6411595</wp:posOffset>
            </wp:positionH>
            <wp:positionV relativeFrom="paragraph">
              <wp:posOffset>-221615</wp:posOffset>
            </wp:positionV>
            <wp:extent cx="12700"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-221615</wp:posOffset>
            </wp:positionV>
            <wp:extent cx="1270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64" w:lineRule="exact"/>
        <w:rPr>
          <w:sz w:val="20"/>
          <w:szCs w:val="20"/>
          <w:color w:val="auto"/>
        </w:rPr>
      </w:pPr>
    </w:p>
    <w:p>
      <w:pPr>
        <w:ind w:left="465" w:hanging="465"/>
        <w:spacing w:after="0" w:line="293" w:lineRule="auto"/>
        <w:tabs>
          <w:tab w:leader="none" w:pos="465"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the third quarter of 2002, the Company formed joint ventures with Outokumpu by selling to Outokumpu a 55% interest in the Company’s Heat Transfer business segment for approximately $55 million in cash and notes. The Company accounts for its remaining 45% interest using the equity method of accounting and includes such amounts in the “Corporate and other” segment. The historical net sales, results of operations and total assets of the “Corporate and other” segment have been restated to include the portions of the Heat Transfer business segment that was sold to Outokumpu. The results of operations of the Heat Transfer business segment now presented in the “Corporate and other” segment was $(2.2) million for the year ended December 31, 2003. The historical net sales and results of operations of the Heat Transfer business segment now presented in the “Corporate and other” segment were $129.3 million and $(3.7) million for the year ended December 31, 2002 and $200.5 million and $(1.5) million for the year ended December 31, 2001, respectively.</w:t>
      </w:r>
    </w:p>
    <w:p>
      <w:pPr>
        <w:spacing w:after="0" w:line="174" w:lineRule="exact"/>
        <w:rPr>
          <w:rFonts w:ascii="Arial" w:cs="Arial" w:eastAsia="Arial" w:hAnsi="Arial"/>
          <w:sz w:val="14"/>
          <w:szCs w:val="14"/>
          <w:color w:val="auto"/>
        </w:rPr>
      </w:pPr>
    </w:p>
    <w:p>
      <w:pPr>
        <w:ind w:left="465" w:hanging="465"/>
        <w:spacing w:after="0" w:line="264" w:lineRule="auto"/>
        <w:tabs>
          <w:tab w:leader="none" w:pos="4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facilitate comparisons, the reported segment profit amounts for the year ended December 31, 2001 has been adjusted to reflect the discontinuation of goodwill and trademark amortization under Statement of Financial Accounting Standards No. 142, “Goodwill and Other Intangible Assets.”</w:t>
      </w:r>
    </w:p>
    <w:p>
      <w:pPr>
        <w:spacing w:after="0" w:line="168"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5"/>
          </w:cols>
          <w:pgMar w:left="235" w:top="386" w:right="259" w:bottom="1440" w:gutter="0" w:footer="0" w:header="0"/>
        </w:sectPr>
      </w:pPr>
    </w:p>
    <w:bookmarkStart w:id="57" w:name="page58"/>
    <w:bookmarkEnd w:id="57"/>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left="5" w:right="740" w:firstLine="286"/>
        <w:spacing w:after="0" w:line="264" w:lineRule="auto"/>
        <w:rPr>
          <w:sz w:val="20"/>
          <w:szCs w:val="20"/>
          <w:color w:val="auto"/>
        </w:rPr>
      </w:pPr>
      <w:r>
        <w:rPr>
          <w:rFonts w:ascii="Arial" w:cs="Arial" w:eastAsia="Arial" w:hAnsi="Arial"/>
          <w:sz w:val="16"/>
          <w:szCs w:val="16"/>
          <w:color w:val="auto"/>
        </w:rPr>
        <w:t>The following table sets forth certain financial information relating to the Company’s operations by geographic area based on the domicile of the Company’s operations (in millions):</w:t>
      </w:r>
    </w:p>
    <w:p>
      <w:pPr>
        <w:spacing w:after="0" w:line="355" w:lineRule="exact"/>
        <w:rPr>
          <w:sz w:val="20"/>
          <w:szCs w:val="20"/>
          <w:color w:val="auto"/>
        </w:rPr>
      </w:pPr>
    </w:p>
    <w:tbl>
      <w:tblPr>
        <w:tblLayout w:type="fixed"/>
        <w:tblInd w:w="1145" w:type="dxa"/>
        <w:tblCellMar>
          <w:top w:w="0" w:type="dxa"/>
          <w:left w:w="0" w:type="dxa"/>
          <w:bottom w:w="0" w:type="dxa"/>
          <w:right w:w="0" w:type="dxa"/>
        </w:tblCellMar>
      </w:tblPr>
      <w:tr>
        <w:trPr>
          <w:trHeight w:val="154"/>
        </w:trPr>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8"/>
          </w:tcPr>
          <w:p>
            <w:pPr>
              <w:jc w:val="center"/>
              <w:ind w:left="68"/>
              <w:spacing w:after="0"/>
              <w:rPr>
                <w:sz w:val="20"/>
                <w:szCs w:val="20"/>
                <w:color w:val="auto"/>
              </w:rPr>
            </w:pPr>
            <w:r>
              <w:rPr>
                <w:rFonts w:ascii="Arial" w:cs="Arial" w:eastAsia="Arial" w:hAnsi="Arial"/>
                <w:sz w:val="12"/>
                <w:szCs w:val="12"/>
                <w:b w:val="1"/>
                <w:bCs w:val="1"/>
                <w:color w:val="auto"/>
                <w:w w:val="89"/>
              </w:rPr>
              <w:t>For the Years Ended December 31,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83"/>
        </w:trPr>
        <w:tc>
          <w:tcPr>
            <w:tcW w:w="5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r>
      <w:tr>
        <w:trPr>
          <w:trHeight w:val="208"/>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5"/>
          </w:tcPr>
          <w:p>
            <w:pPr>
              <w:jc w:val="center"/>
              <w:ind w:right="720"/>
              <w:spacing w:after="0"/>
              <w:rPr>
                <w:sz w:val="20"/>
                <w:szCs w:val="20"/>
                <w:color w:val="auto"/>
              </w:rPr>
            </w:pPr>
            <w:r>
              <w:rPr>
                <w:rFonts w:ascii="Arial" w:cs="Arial" w:eastAsia="Arial" w:hAnsi="Arial"/>
                <w:sz w:val="12"/>
                <w:szCs w:val="12"/>
                <w:b w:val="1"/>
                <w:bCs w:val="1"/>
                <w:color w:val="auto"/>
                <w:w w:val="86"/>
              </w:rPr>
              <w:t>Restated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54"/>
        </w:trPr>
        <w:tc>
          <w:tcPr>
            <w:tcW w:w="53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13"/>
                <w:szCs w:val="13"/>
                <w:color w:val="auto"/>
              </w:rPr>
            </w:pPr>
          </w:p>
        </w:tc>
        <w:tc>
          <w:tcPr>
            <w:tcW w:w="1340" w:type="dxa"/>
            <w:vAlign w:val="bottom"/>
            <w:gridSpan w:val="4"/>
          </w:tcPr>
          <w:p>
            <w:pPr>
              <w:jc w:val="center"/>
              <w:ind w:left="828"/>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2001</w:t>
            </w:r>
          </w:p>
        </w:tc>
        <w:tc>
          <w:tcPr>
            <w:tcW w:w="320" w:type="dxa"/>
            <w:vAlign w:val="bottom"/>
          </w:tcPr>
          <w:p>
            <w:pPr>
              <w:spacing w:after="0"/>
              <w:rPr>
                <w:sz w:val="13"/>
                <w:szCs w:val="13"/>
                <w:color w:val="auto"/>
              </w:rPr>
            </w:pPr>
          </w:p>
        </w:tc>
      </w:tr>
      <w:tr>
        <w:trPr>
          <w:trHeight w:val="83"/>
        </w:trPr>
        <w:tc>
          <w:tcPr>
            <w:tcW w:w="53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91"/>
        </w:trPr>
        <w:tc>
          <w:tcPr>
            <w:tcW w:w="532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Net Sales to External Customers</w:t>
            </w: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r>
      <w:tr>
        <w:trPr>
          <w:trHeight w:val="191"/>
        </w:trPr>
        <w:tc>
          <w:tcPr>
            <w:tcW w:w="532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$2,344.6</w:t>
            </w: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$2,357.6</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6"/>
              </w:rPr>
              <w:t>$2,448.5</w:t>
            </w:r>
          </w:p>
        </w:tc>
        <w:tc>
          <w:tcPr>
            <w:tcW w:w="320" w:type="dxa"/>
            <w:vAlign w:val="bottom"/>
          </w:tcPr>
          <w:p>
            <w:pPr>
              <w:spacing w:after="0"/>
              <w:rPr>
                <w:sz w:val="16"/>
                <w:szCs w:val="16"/>
                <w:color w:val="auto"/>
              </w:rPr>
            </w:pPr>
          </w:p>
        </w:tc>
      </w:tr>
      <w:tr>
        <w:trPr>
          <w:trHeight w:val="191"/>
        </w:trPr>
        <w:tc>
          <w:tcPr>
            <w:tcW w:w="5320" w:type="dxa"/>
            <w:vAlign w:val="bottom"/>
            <w:shd w:val="clear" w:color="auto" w:fill="EEEEEE"/>
          </w:tcPr>
          <w:p>
            <w:pPr>
              <w:ind w:left="220"/>
              <w:spacing w:after="0"/>
              <w:rPr>
                <w:sz w:val="20"/>
                <w:szCs w:val="20"/>
                <w:color w:val="auto"/>
              </w:rPr>
            </w:pPr>
            <w:r>
              <w:rPr>
                <w:rFonts w:ascii="Arial" w:cs="Arial" w:eastAsia="Arial" w:hAnsi="Arial"/>
                <w:sz w:val="16"/>
                <w:szCs w:val="16"/>
                <w:color w:val="auto"/>
              </w:rPr>
              <w:t>Canada</w:t>
            </w: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345.9</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303.1</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278.3</w:t>
            </w:r>
          </w:p>
        </w:tc>
        <w:tc>
          <w:tcPr>
            <w:tcW w:w="320" w:type="dxa"/>
            <w:vAlign w:val="bottom"/>
            <w:shd w:val="clear" w:color="auto" w:fill="EEEEEE"/>
          </w:tcPr>
          <w:p>
            <w:pPr>
              <w:spacing w:after="0"/>
              <w:rPr>
                <w:sz w:val="16"/>
                <w:szCs w:val="16"/>
                <w:color w:val="auto"/>
              </w:rPr>
            </w:pPr>
          </w:p>
        </w:tc>
      </w:tr>
      <w:tr>
        <w:trPr>
          <w:trHeight w:val="196"/>
        </w:trPr>
        <w:tc>
          <w:tcPr>
            <w:tcW w:w="5320" w:type="dxa"/>
            <w:vAlign w:val="bottom"/>
          </w:tcPr>
          <w:p>
            <w:pPr>
              <w:ind w:left="220"/>
              <w:spacing w:after="0"/>
              <w:rPr>
                <w:sz w:val="20"/>
                <w:szCs w:val="20"/>
                <w:color w:val="auto"/>
              </w:rPr>
            </w:pPr>
            <w:r>
              <w:rPr>
                <w:rFonts w:ascii="Arial" w:cs="Arial" w:eastAsia="Arial" w:hAnsi="Arial"/>
                <w:sz w:val="16"/>
                <w:szCs w:val="16"/>
                <w:color w:val="auto"/>
              </w:rPr>
              <w:t>International</w:t>
            </w:r>
          </w:p>
        </w:tc>
        <w:tc>
          <w:tcPr>
            <w:tcW w:w="800" w:type="dxa"/>
            <w:vAlign w:val="bottom"/>
            <w:gridSpan w:val="3"/>
          </w:tcPr>
          <w:p>
            <w:pPr>
              <w:jc w:val="right"/>
              <w:ind w:right="20"/>
              <w:spacing w:after="0"/>
              <w:rPr>
                <w:sz w:val="20"/>
                <w:szCs w:val="20"/>
                <w:color w:val="auto"/>
              </w:rPr>
            </w:pPr>
            <w:r>
              <w:rPr>
                <w:rFonts w:ascii="Arial" w:cs="Arial" w:eastAsia="Arial" w:hAnsi="Arial"/>
                <w:sz w:val="16"/>
                <w:szCs w:val="16"/>
                <w:color w:val="auto"/>
              </w:rPr>
              <w:t>394.6</w:t>
            </w:r>
          </w:p>
        </w:tc>
        <w:tc>
          <w:tcPr>
            <w:tcW w:w="1340" w:type="dxa"/>
            <w:vAlign w:val="bottom"/>
            <w:gridSpan w:val="4"/>
          </w:tcPr>
          <w:p>
            <w:pPr>
              <w:jc w:val="right"/>
              <w:spacing w:after="0"/>
              <w:rPr>
                <w:sz w:val="20"/>
                <w:szCs w:val="20"/>
                <w:color w:val="auto"/>
              </w:rPr>
            </w:pPr>
            <w:r>
              <w:rPr>
                <w:rFonts w:ascii="Arial" w:cs="Arial" w:eastAsia="Arial" w:hAnsi="Arial"/>
                <w:sz w:val="16"/>
                <w:szCs w:val="16"/>
                <w:color w:val="auto"/>
              </w:rPr>
              <w:t>363.9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386.8</w:t>
            </w:r>
          </w:p>
        </w:tc>
        <w:tc>
          <w:tcPr>
            <w:tcW w:w="320" w:type="dxa"/>
            <w:vAlign w:val="bottom"/>
          </w:tcPr>
          <w:p>
            <w:pPr>
              <w:spacing w:after="0"/>
              <w:rPr>
                <w:sz w:val="17"/>
                <w:szCs w:val="17"/>
                <w:color w:val="auto"/>
              </w:rPr>
            </w:pPr>
          </w:p>
        </w:tc>
      </w:tr>
      <w:tr>
        <w:trPr>
          <w:trHeight w:val="90"/>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r>
      <w:tr>
        <w:trPr>
          <w:trHeight w:val="87"/>
        </w:trPr>
        <w:tc>
          <w:tcPr>
            <w:tcW w:w="5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91"/>
        </w:trPr>
        <w:tc>
          <w:tcPr>
            <w:tcW w:w="5320" w:type="dxa"/>
            <w:vAlign w:val="bottom"/>
            <w:shd w:val="clear" w:color="auto" w:fill="EEEEEE"/>
          </w:tcPr>
          <w:p>
            <w:pPr>
              <w:ind w:left="460"/>
              <w:spacing w:after="0"/>
              <w:rPr>
                <w:sz w:val="20"/>
                <w:szCs w:val="20"/>
                <w:color w:val="auto"/>
              </w:rPr>
            </w:pPr>
            <w:r>
              <w:rPr>
                <w:rFonts w:ascii="Arial" w:cs="Arial" w:eastAsia="Arial" w:hAnsi="Arial"/>
                <w:sz w:val="16"/>
                <w:szCs w:val="16"/>
                <w:color w:val="auto"/>
              </w:rPr>
              <w:t>Total net sales to external customers</w:t>
            </w:r>
          </w:p>
        </w:tc>
        <w:tc>
          <w:tcPr>
            <w:tcW w:w="80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$3,085.1</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$3,024.6</w:t>
            </w:r>
          </w:p>
        </w:tc>
        <w:tc>
          <w:tcPr>
            <w:tcW w:w="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w w:val="96"/>
              </w:rPr>
              <w:t>$3,113.6</w:t>
            </w:r>
          </w:p>
        </w:tc>
        <w:tc>
          <w:tcPr>
            <w:tcW w:w="320" w:type="dxa"/>
            <w:vAlign w:val="bottom"/>
            <w:shd w:val="clear" w:color="auto" w:fill="EEEEEE"/>
          </w:tcPr>
          <w:p>
            <w:pPr>
              <w:spacing w:after="0"/>
              <w:rPr>
                <w:sz w:val="16"/>
                <w:szCs w:val="16"/>
                <w:color w:val="auto"/>
              </w:rPr>
            </w:pPr>
          </w:p>
        </w:tc>
      </w:tr>
      <w:tr>
        <w:trPr>
          <w:trHeight w:val="127"/>
        </w:trPr>
        <w:tc>
          <w:tcPr>
            <w:tcW w:w="5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-34925</wp:posOffset>
            </wp:positionV>
            <wp:extent cx="12700"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-34925</wp:posOffset>
            </wp:positionV>
            <wp:extent cx="1270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-34925</wp:posOffset>
            </wp:positionV>
            <wp:extent cx="1270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-34925</wp:posOffset>
            </wp:positionV>
            <wp:extent cx="1270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6320790</wp:posOffset>
            </wp:positionH>
            <wp:positionV relativeFrom="paragraph">
              <wp:posOffset>-34925</wp:posOffset>
            </wp:positionV>
            <wp:extent cx="1270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-34925</wp:posOffset>
            </wp:positionV>
            <wp:extent cx="1270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1" w:lineRule="exact"/>
        <w:rPr>
          <w:sz w:val="20"/>
          <w:szCs w:val="20"/>
          <w:color w:val="auto"/>
        </w:rPr>
      </w:pPr>
    </w:p>
    <w:tbl>
      <w:tblPr>
        <w:tblLayout w:type="fixed"/>
        <w:tblInd w:w="1725" w:type="dxa"/>
        <w:tblCellMar>
          <w:top w:w="0" w:type="dxa"/>
          <w:left w:w="0" w:type="dxa"/>
          <w:bottom w:w="0" w:type="dxa"/>
          <w:right w:w="0" w:type="dxa"/>
        </w:tblCellMar>
      </w:tblPr>
      <w:tr>
        <w:trPr>
          <w:trHeight w:val="154"/>
        </w:trPr>
        <w:tc>
          <w:tcPr>
            <w:tcW w:w="5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6"/>
          </w:tcPr>
          <w:p>
            <w:pPr>
              <w:ind w:left="340"/>
              <w:spacing w:after="0"/>
              <w:rPr>
                <w:sz w:val="20"/>
                <w:szCs w:val="20"/>
                <w:color w:val="auto"/>
              </w:rPr>
            </w:pPr>
            <w:r>
              <w:rPr>
                <w:rFonts w:ascii="Arial" w:cs="Arial" w:eastAsia="Arial" w:hAnsi="Arial"/>
                <w:sz w:val="12"/>
                <w:szCs w:val="12"/>
                <w:b w:val="1"/>
                <w:bCs w:val="1"/>
                <w:color w:val="auto"/>
              </w:rPr>
              <w:t>As of December 31,</w:t>
            </w:r>
          </w:p>
        </w:tc>
      </w:tr>
      <w:tr>
        <w:trPr>
          <w:trHeight w:val="83"/>
        </w:trPr>
        <w:tc>
          <w:tcPr>
            <w:tcW w:w="57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208"/>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2"/>
                <w:szCs w:val="12"/>
                <w:b w:val="1"/>
                <w:bCs w:val="1"/>
                <w:color w:val="auto"/>
              </w:rPr>
              <w:t>Restated</w:t>
            </w:r>
          </w:p>
        </w:tc>
      </w:tr>
      <w:tr>
        <w:trPr>
          <w:trHeight w:val="154"/>
        </w:trPr>
        <w:tc>
          <w:tcPr>
            <w:tcW w:w="57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2003</w:t>
            </w:r>
          </w:p>
        </w:tc>
        <w:tc>
          <w:tcPr>
            <w:tcW w:w="300" w:type="dxa"/>
            <w:vAlign w:val="bottom"/>
          </w:tcPr>
          <w:p>
            <w:pPr>
              <w:spacing w:after="0"/>
              <w:rPr>
                <w:sz w:val="13"/>
                <w:szCs w:val="13"/>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2002</w:t>
            </w:r>
          </w:p>
        </w:tc>
        <w:tc>
          <w:tcPr>
            <w:tcW w:w="380" w:type="dxa"/>
            <w:vAlign w:val="bottom"/>
          </w:tcPr>
          <w:p>
            <w:pPr>
              <w:spacing w:after="0"/>
              <w:rPr>
                <w:sz w:val="13"/>
                <w:szCs w:val="13"/>
                <w:color w:val="auto"/>
              </w:rPr>
            </w:pPr>
          </w:p>
        </w:tc>
      </w:tr>
      <w:tr>
        <w:trPr>
          <w:trHeight w:val="83"/>
        </w:trPr>
        <w:tc>
          <w:tcPr>
            <w:tcW w:w="57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87"/>
        </w:trPr>
        <w:tc>
          <w:tcPr>
            <w:tcW w:w="5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91"/>
        </w:trPr>
        <w:tc>
          <w:tcPr>
            <w:tcW w:w="5720" w:type="dxa"/>
            <w:vAlign w:val="bottom"/>
            <w:shd w:val="clear" w:color="auto" w:fill="EEEEEE"/>
          </w:tcPr>
          <w:p>
            <w:pPr>
              <w:spacing w:after="0"/>
              <w:rPr>
                <w:sz w:val="20"/>
                <w:szCs w:val="20"/>
                <w:color w:val="auto"/>
              </w:rPr>
            </w:pPr>
            <w:r>
              <w:rPr>
                <w:rFonts w:ascii="Arial" w:cs="Arial" w:eastAsia="Arial" w:hAnsi="Arial"/>
                <w:sz w:val="16"/>
                <w:szCs w:val="16"/>
                <w:i w:val="1"/>
                <w:iCs w:val="1"/>
                <w:color w:val="auto"/>
              </w:rPr>
              <w:t>Long-Lived Assets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r>
      <w:tr>
        <w:trPr>
          <w:trHeight w:val="191"/>
        </w:trPr>
        <w:tc>
          <w:tcPr>
            <w:tcW w:w="572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$636.8</w:t>
            </w:r>
          </w:p>
        </w:tc>
        <w:tc>
          <w:tcPr>
            <w:tcW w:w="3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$648.4</w:t>
            </w:r>
          </w:p>
        </w:tc>
        <w:tc>
          <w:tcPr>
            <w:tcW w:w="380" w:type="dxa"/>
            <w:vAlign w:val="bottom"/>
          </w:tcPr>
          <w:p>
            <w:pPr>
              <w:spacing w:after="0"/>
              <w:rPr>
                <w:sz w:val="16"/>
                <w:szCs w:val="16"/>
                <w:color w:val="auto"/>
              </w:rPr>
            </w:pPr>
          </w:p>
        </w:tc>
      </w:tr>
      <w:tr>
        <w:trPr>
          <w:trHeight w:val="191"/>
        </w:trPr>
        <w:tc>
          <w:tcPr>
            <w:tcW w:w="5720" w:type="dxa"/>
            <w:vAlign w:val="bottom"/>
            <w:shd w:val="clear" w:color="auto" w:fill="EEEEEE"/>
          </w:tcPr>
          <w:p>
            <w:pPr>
              <w:ind w:left="200"/>
              <w:spacing w:after="0"/>
              <w:rPr>
                <w:sz w:val="20"/>
                <w:szCs w:val="20"/>
                <w:color w:val="auto"/>
              </w:rPr>
            </w:pPr>
            <w:r>
              <w:rPr>
                <w:rFonts w:ascii="Arial" w:cs="Arial" w:eastAsia="Arial" w:hAnsi="Arial"/>
                <w:sz w:val="16"/>
                <w:szCs w:val="16"/>
                <w:color w:val="auto"/>
              </w:rPr>
              <w:t>Canada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93.7</w:t>
            </w:r>
          </w:p>
        </w:tc>
        <w:tc>
          <w:tcPr>
            <w:tcW w:w="30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78.1</w:t>
            </w:r>
          </w:p>
        </w:tc>
        <w:tc>
          <w:tcPr>
            <w:tcW w:w="380" w:type="dxa"/>
            <w:vAlign w:val="bottom"/>
            <w:shd w:val="clear" w:color="auto" w:fill="EEEEEE"/>
          </w:tcPr>
          <w:p>
            <w:pPr>
              <w:spacing w:after="0"/>
              <w:rPr>
                <w:sz w:val="16"/>
                <w:szCs w:val="16"/>
                <w:color w:val="auto"/>
              </w:rPr>
            </w:pPr>
          </w:p>
        </w:tc>
      </w:tr>
      <w:tr>
        <w:trPr>
          <w:trHeight w:val="196"/>
        </w:trPr>
        <w:tc>
          <w:tcPr>
            <w:tcW w:w="5720" w:type="dxa"/>
            <w:vAlign w:val="bottom"/>
          </w:tcPr>
          <w:p>
            <w:pPr>
              <w:ind w:left="200"/>
              <w:spacing w:after="0"/>
              <w:rPr>
                <w:sz w:val="20"/>
                <w:szCs w:val="20"/>
                <w:color w:val="auto"/>
              </w:rPr>
            </w:pPr>
            <w:r>
              <w:rPr>
                <w:rFonts w:ascii="Arial" w:cs="Arial" w:eastAsia="Arial" w:hAnsi="Arial"/>
                <w:sz w:val="16"/>
                <w:szCs w:val="16"/>
                <w:color w:val="auto"/>
              </w:rPr>
              <w:t>International</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150.6</w:t>
            </w:r>
          </w:p>
        </w:tc>
        <w:tc>
          <w:tcPr>
            <w:tcW w:w="3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116.0</w:t>
            </w:r>
          </w:p>
        </w:tc>
        <w:tc>
          <w:tcPr>
            <w:tcW w:w="380" w:type="dxa"/>
            <w:vAlign w:val="bottom"/>
          </w:tcPr>
          <w:p>
            <w:pPr>
              <w:spacing w:after="0"/>
              <w:rPr>
                <w:sz w:val="17"/>
                <w:szCs w:val="17"/>
                <w:color w:val="auto"/>
              </w:rPr>
            </w:pPr>
          </w:p>
        </w:tc>
      </w:tr>
      <w:tr>
        <w:trPr>
          <w:trHeight w:val="90"/>
        </w:trPr>
        <w:tc>
          <w:tcPr>
            <w:tcW w:w="5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r>
      <w:tr>
        <w:trPr>
          <w:trHeight w:val="87"/>
        </w:trPr>
        <w:tc>
          <w:tcPr>
            <w:tcW w:w="5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91"/>
        </w:trPr>
        <w:tc>
          <w:tcPr>
            <w:tcW w:w="5720" w:type="dxa"/>
            <w:vAlign w:val="bottom"/>
            <w:shd w:val="clear" w:color="auto" w:fill="EEEEEE"/>
          </w:tcPr>
          <w:p>
            <w:pPr>
              <w:ind w:left="440"/>
              <w:spacing w:after="0"/>
              <w:rPr>
                <w:sz w:val="20"/>
                <w:szCs w:val="20"/>
                <w:color w:val="auto"/>
              </w:rPr>
            </w:pPr>
            <w:r>
              <w:rPr>
                <w:rFonts w:ascii="Arial" w:cs="Arial" w:eastAsia="Arial" w:hAnsi="Arial"/>
                <w:sz w:val="16"/>
                <w:szCs w:val="16"/>
                <w:color w:val="auto"/>
              </w:rPr>
              <w:t>Total long-lived assets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$881.1</w:t>
            </w:r>
          </w:p>
        </w:tc>
        <w:tc>
          <w:tcPr>
            <w:tcW w:w="300" w:type="dxa"/>
            <w:vAlign w:val="bottom"/>
            <w:shd w:val="clear" w:color="auto" w:fill="EEEEEE"/>
          </w:tcPr>
          <w:p>
            <w:pPr>
              <w:spacing w:after="0"/>
              <w:rPr>
                <w:sz w:val="16"/>
                <w:szCs w:val="16"/>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$842.5</w:t>
            </w:r>
          </w:p>
        </w:tc>
        <w:tc>
          <w:tcPr>
            <w:tcW w:w="380" w:type="dxa"/>
            <w:vAlign w:val="bottom"/>
            <w:shd w:val="clear" w:color="auto" w:fill="EEEEEE"/>
          </w:tcPr>
          <w:p>
            <w:pPr>
              <w:spacing w:after="0"/>
              <w:rPr>
                <w:sz w:val="16"/>
                <w:szCs w:val="16"/>
                <w:color w:val="auto"/>
              </w:rPr>
            </w:pPr>
          </w:p>
        </w:tc>
      </w:tr>
      <w:tr>
        <w:trPr>
          <w:trHeight w:val="127"/>
        </w:trPr>
        <w:tc>
          <w:tcPr>
            <w:tcW w:w="5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-34925</wp:posOffset>
            </wp:positionV>
            <wp:extent cx="1270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-34925</wp:posOffset>
            </wp:positionV>
            <wp:extent cx="1270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-34925</wp:posOffset>
            </wp:positionV>
            <wp:extent cx="1270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-34925</wp:posOffset>
            </wp:positionV>
            <wp:extent cx="1270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49" w:lineRule="exact"/>
        <w:rPr>
          <w:sz w:val="20"/>
          <w:szCs w:val="20"/>
          <w:color w:val="auto"/>
        </w:rPr>
      </w:pPr>
    </w:p>
    <w:p>
      <w:pPr>
        <w:ind w:left="305" w:hanging="305"/>
        <w:spacing w:after="0"/>
        <w:tabs>
          <w:tab w:leader="none" w:pos="30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Inventories: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Components of inventories are as follows (in millions):</w:t>
      </w:r>
    </w:p>
    <w:p>
      <w:pPr>
        <w:spacing w:after="0" w:line="38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2"/>
                <w:szCs w:val="12"/>
                <w:b w:val="1"/>
                <w:bCs w:val="1"/>
                <w:color w:val="auto"/>
              </w:rPr>
              <w:t>As of December 31,</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Restated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92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2003</w:t>
            </w:r>
          </w:p>
        </w:tc>
        <w:tc>
          <w:tcPr>
            <w:tcW w:w="30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2002</w:t>
            </w: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6"/>
                <w:szCs w:val="16"/>
                <w:color w:val="auto"/>
              </w:rPr>
              <w:t>Finished goods</w:t>
            </w:r>
          </w:p>
        </w:tc>
        <w:tc>
          <w:tcPr>
            <w:tcW w:w="29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$152.2</w:t>
            </w:r>
          </w:p>
        </w:tc>
        <w:tc>
          <w:tcPr>
            <w:tcW w:w="30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$143.1</w:t>
            </w:r>
          </w:p>
        </w:tc>
        <w:tc>
          <w:tcPr>
            <w:tcW w:w="380" w:type="dxa"/>
            <w:vAlign w:val="bottom"/>
            <w:shd w:val="clear" w:color="auto" w:fill="EEEEE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Repair parts</w:t>
            </w:r>
          </w:p>
        </w:tc>
        <w:tc>
          <w:tcPr>
            <w:tcW w:w="2920" w:type="dxa"/>
            <w:vAlign w:val="bottom"/>
            <w:gridSpan w:val="3"/>
          </w:tcPr>
          <w:p>
            <w:pPr>
              <w:jc w:val="right"/>
              <w:spacing w:after="0"/>
              <w:rPr>
                <w:sz w:val="20"/>
                <w:szCs w:val="20"/>
                <w:color w:val="auto"/>
              </w:rPr>
            </w:pPr>
            <w:r>
              <w:rPr>
                <w:rFonts w:ascii="Arial" w:cs="Arial" w:eastAsia="Arial" w:hAnsi="Arial"/>
                <w:sz w:val="16"/>
                <w:szCs w:val="16"/>
                <w:color w:val="auto"/>
              </w:rPr>
              <w:t>34.9</w:t>
            </w:r>
          </w:p>
        </w:tc>
        <w:tc>
          <w:tcPr>
            <w:tcW w:w="3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37.2</w:t>
            </w: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6"/>
                <w:szCs w:val="16"/>
                <w:color w:val="auto"/>
              </w:rPr>
              <w:t>Work in process</w:t>
            </w:r>
          </w:p>
        </w:tc>
        <w:tc>
          <w:tcPr>
            <w:tcW w:w="29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8.8</w:t>
            </w:r>
          </w:p>
        </w:tc>
        <w:tc>
          <w:tcPr>
            <w:tcW w:w="30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8.7</w:t>
            </w:r>
          </w:p>
        </w:tc>
        <w:tc>
          <w:tcPr>
            <w:tcW w:w="380" w:type="dxa"/>
            <w:vAlign w:val="bottom"/>
            <w:shd w:val="clear" w:color="auto" w:fill="EEEEE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Raw materials</w:t>
            </w:r>
          </w:p>
        </w:tc>
        <w:tc>
          <w:tcPr>
            <w:tcW w:w="2920" w:type="dxa"/>
            <w:vAlign w:val="bottom"/>
            <w:gridSpan w:val="3"/>
          </w:tcPr>
          <w:p>
            <w:pPr>
              <w:jc w:val="right"/>
              <w:spacing w:after="0"/>
              <w:rPr>
                <w:sz w:val="20"/>
                <w:szCs w:val="20"/>
                <w:color w:val="auto"/>
              </w:rPr>
            </w:pPr>
            <w:r>
              <w:rPr>
                <w:rFonts w:ascii="Arial" w:cs="Arial" w:eastAsia="Arial" w:hAnsi="Arial"/>
                <w:sz w:val="16"/>
                <w:szCs w:val="16"/>
                <w:color w:val="auto"/>
              </w:rPr>
              <w:t>78.3</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72.7</w:t>
            </w: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440" w:type="dxa"/>
            <w:vAlign w:val="bottom"/>
            <w:shd w:val="clear" w:color="auto" w:fill="EEEEEE"/>
          </w:tcPr>
          <w:p>
            <w:pPr>
              <w:spacing w:after="0"/>
              <w:rPr>
                <w:sz w:val="16"/>
                <w:szCs w:val="16"/>
                <w:color w:val="auto"/>
              </w:rPr>
            </w:pPr>
          </w:p>
        </w:tc>
        <w:tc>
          <w:tcPr>
            <w:tcW w:w="29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274.2</w:t>
            </w:r>
          </w:p>
        </w:tc>
        <w:tc>
          <w:tcPr>
            <w:tcW w:w="30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261.7</w:t>
            </w:r>
          </w:p>
        </w:tc>
        <w:tc>
          <w:tcPr>
            <w:tcW w:w="380" w:type="dxa"/>
            <w:vAlign w:val="bottom"/>
            <w:shd w:val="clear" w:color="auto" w:fill="EEEEE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Excess of current cost over last-in, first-out cost</w:t>
            </w:r>
          </w:p>
        </w:tc>
        <w:tc>
          <w:tcPr>
            <w:tcW w:w="3220" w:type="dxa"/>
            <w:vAlign w:val="bottom"/>
            <w:gridSpan w:val="4"/>
          </w:tcPr>
          <w:p>
            <w:pPr>
              <w:jc w:val="right"/>
              <w:ind w:right="240"/>
              <w:spacing w:after="0"/>
              <w:rPr>
                <w:sz w:val="20"/>
                <w:szCs w:val="20"/>
                <w:color w:val="auto"/>
              </w:rPr>
            </w:pPr>
            <w:r>
              <w:rPr>
                <w:rFonts w:ascii="Arial" w:cs="Arial" w:eastAsia="Arial" w:hAnsi="Arial"/>
                <w:sz w:val="16"/>
                <w:szCs w:val="16"/>
                <w:color w:val="auto"/>
              </w:rPr>
              <w:t>(47.6)</w:t>
            </w:r>
          </w:p>
        </w:tc>
        <w:tc>
          <w:tcPr>
            <w:tcW w:w="1340" w:type="dxa"/>
            <w:vAlign w:val="bottom"/>
            <w:gridSpan w:val="4"/>
          </w:tcPr>
          <w:p>
            <w:pPr>
              <w:jc w:val="right"/>
              <w:ind w:right="320"/>
              <w:spacing w:after="0"/>
              <w:rPr>
                <w:sz w:val="20"/>
                <w:szCs w:val="20"/>
                <w:color w:val="auto"/>
              </w:rPr>
            </w:pPr>
            <w:r>
              <w:rPr>
                <w:rFonts w:ascii="Arial" w:cs="Arial" w:eastAsia="Arial" w:hAnsi="Arial"/>
                <w:sz w:val="16"/>
                <w:szCs w:val="16"/>
                <w:color w:val="auto"/>
              </w:rPr>
              <w:t>(47.1)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3440" w:type="dxa"/>
            <w:vAlign w:val="bottom"/>
            <w:shd w:val="clear" w:color="auto" w:fill="EEEEEE"/>
          </w:tcPr>
          <w:p>
            <w:pPr>
              <w:spacing w:after="0"/>
              <w:rPr>
                <w:sz w:val="16"/>
                <w:szCs w:val="16"/>
                <w:color w:val="auto"/>
              </w:rPr>
            </w:pPr>
          </w:p>
        </w:tc>
        <w:tc>
          <w:tcPr>
            <w:tcW w:w="29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$226.6</w:t>
            </w:r>
          </w:p>
        </w:tc>
        <w:tc>
          <w:tcPr>
            <w:tcW w:w="300" w:type="dxa"/>
            <w:vAlign w:val="bottom"/>
            <w:shd w:val="clear" w:color="auto" w:fill="EEEEEE"/>
          </w:tcPr>
          <w:p>
            <w:pPr>
              <w:spacing w:after="0"/>
              <w:rPr>
                <w:sz w:val="16"/>
                <w:szCs w:val="16"/>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$214.6</w:t>
            </w:r>
          </w:p>
        </w:tc>
        <w:tc>
          <w:tcPr>
            <w:tcW w:w="380" w:type="dxa"/>
            <w:vAlign w:val="bottom"/>
            <w:shd w:val="clear" w:color="auto" w:fill="EEEEE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7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260" w:type="dxa"/>
            <w:vAlign w:val="bottom"/>
            <w:vMerge w:val="restart"/>
          </w:tcPr>
          <w:p>
            <w:pPr>
              <w:jc w:val="right"/>
              <w:ind w:right="1544"/>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808080"/>
            </w:tcBorders>
          </w:tcPr>
          <w:p>
            <w:pPr>
              <w:spacing w:after="0"/>
              <w:rPr>
                <w:sz w:val="17"/>
                <w:szCs w:val="17"/>
                <w:color w:val="auto"/>
              </w:rPr>
            </w:pPr>
          </w:p>
        </w:tc>
        <w:tc>
          <w:tcPr>
            <w:tcW w:w="3440" w:type="dxa"/>
            <w:vAlign w:val="bottom"/>
            <w:tcBorders>
              <w:bottom w:val="single" w:sz="8" w:color="808080"/>
            </w:tcBorders>
          </w:tcPr>
          <w:p>
            <w:pPr>
              <w:spacing w:after="0"/>
              <w:rPr>
                <w:sz w:val="17"/>
                <w:szCs w:val="17"/>
                <w:color w:val="auto"/>
              </w:rPr>
            </w:pPr>
          </w:p>
        </w:tc>
        <w:tc>
          <w:tcPr>
            <w:tcW w:w="2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5124450</wp:posOffset>
            </wp:positionH>
            <wp:positionV relativeFrom="paragraph">
              <wp:posOffset>-473710</wp:posOffset>
            </wp:positionV>
            <wp:extent cx="1270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-473710</wp:posOffset>
            </wp:positionV>
            <wp:extent cx="12700"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-473710</wp:posOffset>
            </wp:positionV>
            <wp:extent cx="1270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-473710</wp:posOffset>
            </wp:positionV>
            <wp:extent cx="12700"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7252335</wp:posOffset>
            </wp:positionH>
            <wp:positionV relativeFrom="paragraph">
              <wp:posOffset>-13335</wp:posOffset>
            </wp:positionV>
            <wp:extent cx="1270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58" w:name="page59"/>
    <w:bookmarkEnd w:id="58"/>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98" w:lineRule="exact"/>
        <w:rPr>
          <w:sz w:val="20"/>
          <w:szCs w:val="20"/>
          <w:color w:val="auto"/>
        </w:rPr>
      </w:pPr>
    </w:p>
    <w:p>
      <w:pPr>
        <w:ind w:left="305" w:hanging="305"/>
        <w:spacing w:after="0"/>
        <w:tabs>
          <w:tab w:leader="none" w:pos="30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Components of property, plant and equipment are as follows (in millions):</w:t>
      </w:r>
    </w:p>
    <w:p>
      <w:pPr>
        <w:spacing w:after="0" w:line="385" w:lineRule="exact"/>
        <w:rPr>
          <w:sz w:val="20"/>
          <w:szCs w:val="20"/>
          <w:color w:val="auto"/>
        </w:rPr>
      </w:pPr>
    </w:p>
    <w:tbl>
      <w:tblPr>
        <w:tblLayout w:type="fixed"/>
        <w:tblInd w:w="1725" w:type="dxa"/>
        <w:tblCellMar>
          <w:top w:w="0" w:type="dxa"/>
          <w:left w:w="0" w:type="dxa"/>
          <w:bottom w:w="0" w:type="dxa"/>
          <w:right w:w="0" w:type="dxa"/>
        </w:tblCellMar>
      </w:tblPr>
      <w:tr>
        <w:trPr>
          <w:trHeight w:val="154"/>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As of December 31,</w:t>
            </w:r>
          </w:p>
        </w:tc>
      </w:tr>
      <w:tr>
        <w:trPr>
          <w:trHeight w:val="83"/>
        </w:trPr>
        <w:tc>
          <w:tcPr>
            <w:tcW w:w="56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208"/>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Restated</w:t>
            </w:r>
          </w:p>
        </w:tc>
      </w:tr>
      <w:tr>
        <w:trPr>
          <w:trHeight w:val="154"/>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jc w:val="right"/>
              <w:ind w:right="27"/>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jc w:val="right"/>
              <w:ind w:right="5"/>
              <w:spacing w:after="0"/>
              <w:rPr>
                <w:sz w:val="20"/>
                <w:szCs w:val="20"/>
                <w:color w:val="auto"/>
              </w:rPr>
            </w:pPr>
            <w:r>
              <w:rPr>
                <w:rFonts w:ascii="Arial" w:cs="Arial" w:eastAsia="Arial" w:hAnsi="Arial"/>
                <w:sz w:val="12"/>
                <w:szCs w:val="12"/>
                <w:b w:val="1"/>
                <w:bCs w:val="1"/>
                <w:color w:val="auto"/>
              </w:rPr>
              <w:t>2002</w:t>
            </w:r>
          </w:p>
        </w:tc>
        <w:tc>
          <w:tcPr>
            <w:tcW w:w="380" w:type="dxa"/>
            <w:vAlign w:val="bottom"/>
          </w:tcPr>
          <w:p>
            <w:pPr>
              <w:spacing w:after="0"/>
              <w:rPr>
                <w:sz w:val="13"/>
                <w:szCs w:val="13"/>
                <w:color w:val="auto"/>
              </w:rPr>
            </w:pPr>
          </w:p>
        </w:tc>
      </w:tr>
      <w:tr>
        <w:trPr>
          <w:trHeight w:val="83"/>
        </w:trPr>
        <w:tc>
          <w:tcPr>
            <w:tcW w:w="56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87"/>
        </w:trPr>
        <w:tc>
          <w:tcPr>
            <w:tcW w:w="5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91"/>
        </w:trPr>
        <w:tc>
          <w:tcPr>
            <w:tcW w:w="5640" w:type="dxa"/>
            <w:vAlign w:val="bottom"/>
            <w:shd w:val="clear" w:color="auto" w:fill="EEEEEE"/>
          </w:tcPr>
          <w:p>
            <w:pPr>
              <w:spacing w:after="0"/>
              <w:rPr>
                <w:sz w:val="20"/>
                <w:szCs w:val="20"/>
                <w:color w:val="auto"/>
              </w:rPr>
            </w:pPr>
            <w:r>
              <w:rPr>
                <w:rFonts w:ascii="Arial" w:cs="Arial" w:eastAsia="Arial" w:hAnsi="Arial"/>
                <w:sz w:val="16"/>
                <w:szCs w:val="16"/>
                <w:color w:val="auto"/>
              </w:rPr>
              <w:t>Land</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29.7</w:t>
            </w:r>
          </w:p>
        </w:tc>
        <w:tc>
          <w:tcPr>
            <w:tcW w:w="28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27.8</w:t>
            </w:r>
          </w:p>
        </w:tc>
        <w:tc>
          <w:tcPr>
            <w:tcW w:w="380" w:type="dxa"/>
            <w:vAlign w:val="bottom"/>
            <w:shd w:val="clear" w:color="auto" w:fill="EEEEEE"/>
          </w:tcPr>
          <w:p>
            <w:pPr>
              <w:spacing w:after="0"/>
              <w:rPr>
                <w:sz w:val="16"/>
                <w:szCs w:val="16"/>
                <w:color w:val="auto"/>
              </w:rPr>
            </w:pPr>
          </w:p>
        </w:tc>
      </w:tr>
      <w:tr>
        <w:trPr>
          <w:trHeight w:val="191"/>
        </w:trPr>
        <w:tc>
          <w:tcPr>
            <w:tcW w:w="564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3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171.4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167.5</w:t>
            </w:r>
          </w:p>
        </w:tc>
        <w:tc>
          <w:tcPr>
            <w:tcW w:w="380" w:type="dxa"/>
            <w:vAlign w:val="bottom"/>
          </w:tcPr>
          <w:p>
            <w:pPr>
              <w:spacing w:after="0"/>
              <w:rPr>
                <w:sz w:val="16"/>
                <w:szCs w:val="16"/>
                <w:color w:val="auto"/>
              </w:rPr>
            </w:pPr>
          </w:p>
        </w:tc>
      </w:tr>
      <w:tr>
        <w:trPr>
          <w:trHeight w:val="191"/>
        </w:trPr>
        <w:tc>
          <w:tcPr>
            <w:tcW w:w="5640" w:type="dxa"/>
            <w:vAlign w:val="bottom"/>
            <w:shd w:val="clear" w:color="auto" w:fill="EEEEEE"/>
          </w:tcPr>
          <w:p>
            <w:pPr>
              <w:spacing w:after="0"/>
              <w:rPr>
                <w:sz w:val="20"/>
                <w:szCs w:val="20"/>
                <w:color w:val="auto"/>
              </w:rPr>
            </w:pPr>
            <w:r>
              <w:rPr>
                <w:rFonts w:ascii="Arial" w:cs="Arial" w:eastAsia="Arial" w:hAnsi="Arial"/>
                <w:sz w:val="16"/>
                <w:szCs w:val="16"/>
                <w:color w:val="auto"/>
              </w:rPr>
              <w:t>Machinery and equipment</w:t>
            </w:r>
          </w:p>
        </w:tc>
        <w:tc>
          <w:tcPr>
            <w:tcW w:w="30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490.0</w:t>
            </w:r>
          </w:p>
        </w:tc>
        <w:tc>
          <w:tcPr>
            <w:tcW w:w="2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461.2</w:t>
            </w:r>
          </w:p>
        </w:tc>
        <w:tc>
          <w:tcPr>
            <w:tcW w:w="380" w:type="dxa"/>
            <w:vAlign w:val="bottom"/>
            <w:shd w:val="clear" w:color="auto" w:fill="EEEEEE"/>
          </w:tcPr>
          <w:p>
            <w:pPr>
              <w:spacing w:after="0"/>
              <w:rPr>
                <w:sz w:val="16"/>
                <w:szCs w:val="16"/>
                <w:color w:val="auto"/>
              </w:rPr>
            </w:pPr>
          </w:p>
        </w:tc>
      </w:tr>
      <w:tr>
        <w:trPr>
          <w:trHeight w:val="95"/>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277"/>
        </w:trPr>
        <w:tc>
          <w:tcPr>
            <w:tcW w:w="5640" w:type="dxa"/>
            <w:vAlign w:val="bottom"/>
          </w:tcPr>
          <w:p>
            <w:pPr>
              <w:ind w:left="20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691.1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656.5</w:t>
            </w:r>
          </w:p>
        </w:tc>
        <w:tc>
          <w:tcPr>
            <w:tcW w:w="380" w:type="dxa"/>
            <w:vAlign w:val="bottom"/>
          </w:tcPr>
          <w:p>
            <w:pPr>
              <w:spacing w:after="0"/>
              <w:rPr>
                <w:sz w:val="24"/>
                <w:szCs w:val="24"/>
                <w:color w:val="auto"/>
              </w:rPr>
            </w:pPr>
          </w:p>
        </w:tc>
      </w:tr>
      <w:tr>
        <w:trPr>
          <w:trHeight w:val="192"/>
        </w:trPr>
        <w:tc>
          <w:tcPr>
            <w:tcW w:w="5640" w:type="dxa"/>
            <w:vAlign w:val="bottom"/>
            <w:shd w:val="clear" w:color="auto" w:fill="EEEEEE"/>
          </w:tcPr>
          <w:p>
            <w:pPr>
              <w:spacing w:after="0"/>
              <w:rPr>
                <w:sz w:val="20"/>
                <w:szCs w:val="20"/>
                <w:color w:val="auto"/>
              </w:rPr>
            </w:pPr>
            <w:r>
              <w:rPr>
                <w:rFonts w:ascii="Arial" w:cs="Arial" w:eastAsia="Arial" w:hAnsi="Arial"/>
                <w:sz w:val="16"/>
                <w:szCs w:val="16"/>
                <w:color w:val="auto"/>
              </w:rPr>
              <w:t>Less — accumulated depreciation</w:t>
            </w:r>
          </w:p>
        </w:tc>
        <w:tc>
          <w:tcPr>
            <w:tcW w:w="300" w:type="dxa"/>
            <w:vAlign w:val="bottom"/>
            <w:shd w:val="clear" w:color="auto" w:fill="EEEEEE"/>
          </w:tcPr>
          <w:p>
            <w:pPr>
              <w:spacing w:after="0"/>
              <w:rPr>
                <w:sz w:val="16"/>
                <w:szCs w:val="16"/>
                <w:color w:val="auto"/>
              </w:rPr>
            </w:pPr>
          </w:p>
        </w:tc>
        <w:tc>
          <w:tcPr>
            <w:tcW w:w="6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w w:val="82"/>
              </w:rPr>
              <w:t>(456.5)</w:t>
            </w:r>
          </w:p>
        </w:tc>
        <w:tc>
          <w:tcPr>
            <w:tcW w:w="24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w w:val="86"/>
              </w:rPr>
              <w:t>(425.1)</w:t>
            </w:r>
          </w:p>
        </w:tc>
      </w:tr>
      <w:tr>
        <w:trPr>
          <w:trHeight w:val="95"/>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276"/>
        </w:trPr>
        <w:tc>
          <w:tcPr>
            <w:tcW w:w="56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234.6</w:t>
            </w: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231.4</w:t>
            </w:r>
          </w:p>
        </w:tc>
        <w:tc>
          <w:tcPr>
            <w:tcW w:w="380" w:type="dxa"/>
            <w:vAlign w:val="bottom"/>
          </w:tcPr>
          <w:p>
            <w:pPr>
              <w:spacing w:after="0"/>
              <w:rPr>
                <w:sz w:val="24"/>
                <w:szCs w:val="24"/>
                <w:color w:val="auto"/>
              </w:rPr>
            </w:pPr>
          </w:p>
        </w:tc>
      </w:tr>
      <w:tr>
        <w:trPr>
          <w:trHeight w:val="129"/>
        </w:trPr>
        <w:tc>
          <w:tcPr>
            <w:tcW w:w="5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5109210</wp:posOffset>
            </wp:positionH>
            <wp:positionV relativeFrom="paragraph">
              <wp:posOffset>-34925</wp:posOffset>
            </wp:positionV>
            <wp:extent cx="1270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-34925</wp:posOffset>
            </wp:positionV>
            <wp:extent cx="1270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-34925</wp:posOffset>
            </wp:positionV>
            <wp:extent cx="1270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-34925</wp:posOffset>
            </wp:positionV>
            <wp:extent cx="12700"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49" w:lineRule="exact"/>
        <w:rPr>
          <w:sz w:val="20"/>
          <w:szCs w:val="20"/>
          <w:color w:val="auto"/>
        </w:rPr>
      </w:pPr>
    </w:p>
    <w:p>
      <w:pPr>
        <w:ind w:left="305" w:hanging="305"/>
        <w:spacing w:after="0"/>
        <w:tabs>
          <w:tab w:leader="none" w:pos="30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and Divestitures:</w:t>
      </w:r>
    </w:p>
    <w:p>
      <w:pPr>
        <w:spacing w:after="0" w:line="204"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Outokumpu Joint Ventures</w:t>
      </w:r>
    </w:p>
    <w:p>
      <w:pPr>
        <w:spacing w:after="0" w:line="222" w:lineRule="exact"/>
        <w:rPr>
          <w:sz w:val="20"/>
          <w:szCs w:val="20"/>
          <w:color w:val="auto"/>
        </w:rPr>
      </w:pPr>
    </w:p>
    <w:p>
      <w:pPr>
        <w:ind w:left="5" w:right="20" w:firstLine="286"/>
        <w:spacing w:after="0" w:line="291" w:lineRule="auto"/>
        <w:rPr>
          <w:sz w:val="20"/>
          <w:szCs w:val="20"/>
          <w:color w:val="auto"/>
        </w:rPr>
      </w:pPr>
      <w:r>
        <w:rPr>
          <w:rFonts w:ascii="Arial" w:cs="Arial" w:eastAsia="Arial" w:hAnsi="Arial"/>
          <w:sz w:val="14"/>
          <w:szCs w:val="14"/>
          <w:color w:val="auto"/>
        </w:rPr>
        <w:t>During August 2002, the Company completed the formation of joint ventures with Outokumpu. Outokumpu purchased a 55% interest in the Company’s former Heat Transfer business segment in the U.S. and Europe for $55 million in cash and notes, with the Company retaining 45% ownership. A pre-tax gain of approximately $23.1 million was recognized in 2002 in conjunction with the sale and is included in the (Gains) losses and other expenses line item in the accompanying Consolidated Statements of Operations. In conjunction with the sale, the Company incurred $11.6 million of other charges and expenses. Included in this amount are asset impairments that reduced to zero the carrying value of non-core Heat Transfer assets not included in the sale and that were identified for abandonment in the third quarter of 2002. Additionally, this amount includes transaction costs, a pension curtailment in connection with U.S. based Heat Transfer employees and indemnification of flood losses that occurred at a Heat Transfer manufacturing facility in Europe in August 2002. After deducting these expenses, the Company recognized a net pre-tax gain of $11.5 million ($6.4 million net of tax) in 2002. The Company is accounting for its remaining 45% ownership in the joint ventures using the equity method of accounting. The Company recorded expenses of $3.4 million in 2003 related to the Heat Transfer joint venture agreement in (Gains) losses and other expenses.</w:t>
      </w:r>
    </w:p>
    <w:p>
      <w:pPr>
        <w:spacing w:after="0" w:line="151"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Fairco, S.A.</w:t>
      </w:r>
    </w:p>
    <w:p>
      <w:pPr>
        <w:spacing w:after="0" w:line="222" w:lineRule="exact"/>
        <w:rPr>
          <w:sz w:val="20"/>
          <w:szCs w:val="20"/>
          <w:color w:val="auto"/>
        </w:rPr>
      </w:pPr>
    </w:p>
    <w:p>
      <w:pPr>
        <w:ind w:left="5" w:firstLine="286"/>
        <w:spacing w:after="0" w:line="264" w:lineRule="auto"/>
        <w:rPr>
          <w:sz w:val="20"/>
          <w:szCs w:val="20"/>
          <w:color w:val="auto"/>
        </w:rPr>
      </w:pPr>
      <w:r>
        <w:rPr>
          <w:rFonts w:ascii="Arial" w:cs="Arial" w:eastAsia="Arial" w:hAnsi="Arial"/>
          <w:sz w:val="16"/>
          <w:szCs w:val="16"/>
          <w:color w:val="auto"/>
        </w:rPr>
        <w:t>In August 2002, the Company sold its 50% ownership interest in an Argentine joint venture. The Company recognized a pre-tax loss on the sale of $3.6 million ($1.2 million net of tax). The proceeds from the sale were immaterial. The Company’s equity in earnings of Fairco S.A. was immaterial for all prior periods.</w:t>
      </w:r>
    </w:p>
    <w:p>
      <w:pPr>
        <w:spacing w:after="0" w:line="168"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Heatcraft do Brasil S.A.</w:t>
      </w:r>
    </w:p>
    <w:p>
      <w:pPr>
        <w:spacing w:after="0" w:line="222" w:lineRule="exact"/>
        <w:rPr>
          <w:sz w:val="20"/>
          <w:szCs w:val="20"/>
          <w:color w:val="auto"/>
        </w:rPr>
      </w:pPr>
    </w:p>
    <w:p>
      <w:pPr>
        <w:ind w:left="5" w:right="180" w:firstLine="286"/>
        <w:spacing w:after="0" w:line="264" w:lineRule="auto"/>
        <w:rPr>
          <w:sz w:val="20"/>
          <w:szCs w:val="20"/>
          <w:color w:val="auto"/>
        </w:rPr>
      </w:pPr>
      <w:r>
        <w:rPr>
          <w:rFonts w:ascii="Arial" w:cs="Arial" w:eastAsia="Arial" w:hAnsi="Arial"/>
          <w:sz w:val="16"/>
          <w:szCs w:val="16"/>
          <w:color w:val="auto"/>
        </w:rPr>
        <w:t>In June 2002, the Company’s Lennox Global Ltd. subsidiary purchased the remaining 14% interest in Heatcraft do Brasil S.A., a Brazilian company that manufactures primarily commercial refrigeration equipment, for approximately $2.4 million.</w:t>
      </w:r>
    </w:p>
    <w:p>
      <w:pPr>
        <w:spacing w:after="0" w:line="168"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HVAC Distributors</w:t>
      </w:r>
    </w:p>
    <w:p>
      <w:pPr>
        <w:spacing w:after="0" w:line="222" w:lineRule="exact"/>
        <w:rPr>
          <w:sz w:val="20"/>
          <w:szCs w:val="20"/>
          <w:color w:val="auto"/>
        </w:rPr>
      </w:pPr>
    </w:p>
    <w:p>
      <w:pPr>
        <w:ind w:left="5" w:right="320" w:firstLine="286"/>
        <w:spacing w:after="0" w:line="256" w:lineRule="auto"/>
        <w:rPr>
          <w:sz w:val="20"/>
          <w:szCs w:val="20"/>
          <w:color w:val="auto"/>
        </w:rPr>
      </w:pPr>
      <w:r>
        <w:rPr>
          <w:rFonts w:ascii="Arial" w:cs="Arial" w:eastAsia="Arial" w:hAnsi="Arial"/>
          <w:sz w:val="16"/>
          <w:szCs w:val="16"/>
          <w:color w:val="auto"/>
        </w:rPr>
        <w:t>In June 2002, the Company sold the net assets of a heating, ventilation and air conditioning (“HVAC”) distributor, included in the Residential Heating &amp; Cooling segment, for $4.2 million in cash and notes. The sale resulted in a pre-tax loss of approximately $0.2 million that is included in (Gains) losses and other expenses. The revenues and results of operations of the distributor were immaterial for all prior periods.</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59" w:name="page60"/>
    <w:bookmarkEnd w:id="59"/>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left="5" w:firstLine="286"/>
        <w:spacing w:after="0" w:line="256" w:lineRule="auto"/>
        <w:rPr>
          <w:sz w:val="20"/>
          <w:szCs w:val="20"/>
          <w:color w:val="auto"/>
        </w:rPr>
      </w:pPr>
      <w:r>
        <w:rPr>
          <w:rFonts w:ascii="Arial" w:cs="Arial" w:eastAsia="Arial" w:hAnsi="Arial"/>
          <w:sz w:val="16"/>
          <w:szCs w:val="16"/>
          <w:color w:val="auto"/>
        </w:rPr>
        <w:t>In March 2003, the Company sold the net assets of a HVAC distributor included in the Residential Heating &amp; Cooling segment for $4.6 million in cash and notes. The sale resulted in a pre-tax loss of approximately $0.8 million that is included in (Gains) losses and other expenses. The revenues and results of operations of the distributor were immaterial for all prior periods.</w:t>
      </w:r>
    </w:p>
    <w:p>
      <w:pPr>
        <w:spacing w:after="0" w:line="175"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Electrical Products Division</w:t>
      </w:r>
    </w:p>
    <w:p>
      <w:pPr>
        <w:spacing w:after="0" w:line="222" w:lineRule="exact"/>
        <w:rPr>
          <w:sz w:val="20"/>
          <w:szCs w:val="20"/>
          <w:color w:val="auto"/>
        </w:rPr>
      </w:pPr>
    </w:p>
    <w:p>
      <w:pPr>
        <w:ind w:left="5" w:right="60" w:firstLine="286"/>
        <w:spacing w:after="0" w:line="336" w:lineRule="auto"/>
        <w:rPr>
          <w:sz w:val="20"/>
          <w:szCs w:val="20"/>
          <w:color w:val="auto"/>
        </w:rPr>
      </w:pPr>
      <w:r>
        <w:rPr>
          <w:rFonts w:ascii="Arial" w:cs="Arial" w:eastAsia="Arial" w:hAnsi="Arial"/>
          <w:sz w:val="14"/>
          <w:szCs w:val="14"/>
          <w:color w:val="auto"/>
        </w:rPr>
        <w:t>In August 2003, the Company sold the assets of its Electrical Products Division business for $4.5 million in cash. The sale resulted in a pre-tax gain of approximately $2.4 million that is included in (Gains) losses and other expenses. The revenues and results of operations of the business were immaterial for all prior periods.</w:t>
      </w:r>
    </w:p>
    <w:p>
      <w:pPr>
        <w:spacing w:after="0" w:line="116" w:lineRule="exact"/>
        <w:rPr>
          <w:sz w:val="20"/>
          <w:szCs w:val="20"/>
          <w:color w:val="auto"/>
        </w:rPr>
      </w:pPr>
    </w:p>
    <w:p>
      <w:pPr>
        <w:ind w:left="305" w:hanging="305"/>
        <w:spacing w:after="0"/>
        <w:tabs>
          <w:tab w:leader="none" w:pos="30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Charges</w:t>
      </w:r>
    </w:p>
    <w:p>
      <w:pPr>
        <w:spacing w:after="0" w:line="228" w:lineRule="exact"/>
        <w:rPr>
          <w:sz w:val="20"/>
          <w:szCs w:val="20"/>
          <w:color w:val="auto"/>
        </w:rPr>
      </w:pPr>
    </w:p>
    <w:p>
      <w:pPr>
        <w:ind w:left="5" w:right="60" w:firstLine="286"/>
        <w:spacing w:after="0" w:line="264" w:lineRule="auto"/>
        <w:rPr>
          <w:sz w:val="20"/>
          <w:szCs w:val="20"/>
          <w:color w:val="auto"/>
        </w:rPr>
      </w:pPr>
      <w:r>
        <w:rPr>
          <w:rFonts w:ascii="Arial" w:cs="Arial" w:eastAsia="Arial" w:hAnsi="Arial"/>
          <w:sz w:val="16"/>
          <w:szCs w:val="16"/>
          <w:color w:val="auto"/>
        </w:rPr>
        <w:t>During 2001, the Company undertook separate restructuring initiatives of its Service Experts operations and certain of its manufacturing and distribution operations. During 2002, the Company undertook an additional restructuring initiative of its non-core Heat Transfer engineering business.</w:t>
      </w:r>
    </w:p>
    <w:p>
      <w:pPr>
        <w:spacing w:after="0" w:line="192" w:lineRule="exact"/>
        <w:rPr>
          <w:sz w:val="20"/>
          <w:szCs w:val="20"/>
          <w:color w:val="auto"/>
        </w:rPr>
      </w:pPr>
    </w:p>
    <w:p>
      <w:pPr>
        <w:ind w:left="5" w:right="400" w:firstLine="286"/>
        <w:spacing w:after="0" w:line="252" w:lineRule="auto"/>
        <w:rPr>
          <w:sz w:val="20"/>
          <w:szCs w:val="20"/>
          <w:color w:val="auto"/>
        </w:rPr>
      </w:pPr>
      <w:r>
        <w:rPr>
          <w:rFonts w:ascii="Arial" w:cs="Arial" w:eastAsia="Arial" w:hAnsi="Arial"/>
          <w:sz w:val="16"/>
          <w:szCs w:val="16"/>
          <w:i w:val="1"/>
          <w:iCs w:val="1"/>
          <w:color w:val="auto"/>
        </w:rPr>
        <w:t xml:space="preserve">Retail Restructuring Program. </w:t>
      </w:r>
      <w:r>
        <w:rPr>
          <w:rFonts w:ascii="Arial" w:cs="Arial" w:eastAsia="Arial" w:hAnsi="Arial"/>
          <w:sz w:val="16"/>
          <w:szCs w:val="16"/>
          <w:color w:val="auto"/>
        </w:rPr>
        <w:t>In the second quarter of 2001, the Company recorded a pre-tax restructuring charge of $38.0 million ($25.6 million, net of tax),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$3.4 million was included in cost of goods sold, for the selling, closing or merging of 38 company-owned dealer service centers. These centers were either under-performing financially, located in geographical areas requiring disproportionate management effort or focused on non-HVAC activities. The major actions of the plan consisted of employee terminations, closure, sale or merger of dealer service centers and completion of in-process commercial construction jobs, all of which have been completed. The revenue and net operating loss of the service centers sold, merged or closed as a part of the Retail Restructuring Program were $24.5 million and $3.9 million, respectively, for the year ended December 31, 2001.</w:t>
      </w:r>
    </w:p>
    <w:p>
      <w:pPr>
        <w:spacing w:after="0" w:line="200" w:lineRule="exact"/>
        <w:rPr>
          <w:sz w:val="20"/>
          <w:szCs w:val="20"/>
          <w:color w:val="auto"/>
        </w:rPr>
      </w:pPr>
    </w:p>
    <w:p>
      <w:pPr>
        <w:ind w:left="5" w:right="140" w:firstLine="286"/>
        <w:spacing w:after="0" w:line="264" w:lineRule="auto"/>
        <w:rPr>
          <w:sz w:val="20"/>
          <w:szCs w:val="20"/>
          <w:color w:val="auto"/>
        </w:rPr>
      </w:pPr>
      <w:r>
        <w:rPr>
          <w:rFonts w:ascii="Arial" w:cs="Arial" w:eastAsia="Arial" w:hAnsi="Arial"/>
          <w:sz w:val="16"/>
          <w:szCs w:val="16"/>
          <w:color w:val="auto"/>
        </w:rPr>
        <w:t>The $38.0 million restructuring charge consisted of asset impairments and estimates of future cash expenditures. Charges based on estimated cash expenditures are as follows (in millions):</w:t>
      </w:r>
    </w:p>
    <w:p>
      <w:pPr>
        <w:spacing w:after="0" w:line="348" w:lineRule="exact"/>
        <w:rPr>
          <w:sz w:val="20"/>
          <w:szCs w:val="20"/>
          <w:color w:val="auto"/>
        </w:rPr>
      </w:pPr>
    </w:p>
    <w:tbl>
      <w:tblPr>
        <w:tblLayout w:type="fixed"/>
        <w:tblInd w:w="56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6"/>
          </w:tcPr>
          <w:p>
            <w:pPr>
              <w:jc w:val="center"/>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5"/>
          </w:tcPr>
          <w:p>
            <w:pPr>
              <w:jc w:val="center"/>
              <w:ind w:right="20"/>
              <w:spacing w:after="0" w:line="132" w:lineRule="exact"/>
              <w:rPr>
                <w:sz w:val="20"/>
                <w:szCs w:val="20"/>
                <w:color w:val="auto"/>
              </w:rPr>
            </w:pPr>
            <w:r>
              <w:rPr>
                <w:rFonts w:ascii="Arial" w:cs="Arial" w:eastAsia="Arial" w:hAnsi="Arial"/>
                <w:sz w:val="12"/>
                <w:szCs w:val="12"/>
                <w:b w:val="1"/>
                <w:bCs w:val="1"/>
                <w:color w:val="auto"/>
                <w:w w:val="96"/>
              </w:rPr>
              <w:t>Original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6"/>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New</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5"/>
          </w:tcPr>
          <w:p>
            <w:pPr>
              <w:jc w:val="center"/>
              <w:ind w:right="120"/>
              <w:spacing w:after="0" w:line="132" w:lineRule="exact"/>
              <w:rPr>
                <w:sz w:val="20"/>
                <w:szCs w:val="20"/>
                <w:color w:val="auto"/>
              </w:rPr>
            </w:pPr>
            <w:r>
              <w:rPr>
                <w:rFonts w:ascii="Arial" w:cs="Arial" w:eastAsia="Arial" w:hAnsi="Arial"/>
                <w:sz w:val="12"/>
                <w:szCs w:val="12"/>
                <w:b w:val="1"/>
                <w:bCs w:val="1"/>
                <w:color w:val="auto"/>
                <w:w w:val="88"/>
              </w:rPr>
              <w:t>Cash</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6"/>
          </w:tcPr>
          <w:p>
            <w:pPr>
              <w:jc w:val="center"/>
              <w:ind w:right="80"/>
              <w:spacing w:after="0" w:line="132" w:lineRule="exact"/>
              <w:rPr>
                <w:sz w:val="20"/>
                <w:szCs w:val="20"/>
                <w:color w:val="auto"/>
              </w:rPr>
            </w:pPr>
            <w:r>
              <w:rPr>
                <w:rFonts w:ascii="Arial" w:cs="Arial" w:eastAsia="Arial" w:hAnsi="Arial"/>
                <w:sz w:val="12"/>
                <w:szCs w:val="12"/>
                <w:b w:val="1"/>
                <w:bCs w:val="1"/>
                <w:color w:val="auto"/>
                <w:w w:val="99"/>
              </w:rPr>
              <w:t>Other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6"/>
          </w:tcPr>
          <w:p>
            <w:pPr>
              <w:jc w:val="center"/>
              <w:spacing w:after="0" w:line="132"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1"/>
              </w:rPr>
              <w:t>Charge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7"/>
          </w:tcPr>
          <w:p>
            <w:pPr>
              <w:jc w:val="center"/>
              <w:spacing w:after="0"/>
              <w:rPr>
                <w:sz w:val="20"/>
                <w:szCs w:val="20"/>
                <w:color w:val="auto"/>
              </w:rPr>
            </w:pPr>
            <w:r>
              <w:rPr>
                <w:rFonts w:ascii="Arial" w:cs="Arial" w:eastAsia="Arial" w:hAnsi="Arial"/>
                <w:sz w:val="12"/>
                <w:szCs w:val="12"/>
                <w:b w:val="1"/>
                <w:bCs w:val="1"/>
                <w:color w:val="auto"/>
                <w:w w:val="87"/>
              </w:rPr>
              <w:t>Charges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88"/>
              </w:rPr>
              <w:t>Payments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w w:val="86"/>
              </w:rPr>
              <w:t>Changes</w:t>
            </w:r>
          </w:p>
        </w:tc>
        <w:tc>
          <w:tcPr>
            <w:tcW w:w="1660" w:type="dxa"/>
            <w:vAlign w:val="bottom"/>
            <w:gridSpan w:val="8"/>
          </w:tcPr>
          <w:p>
            <w:pPr>
              <w:jc w:val="center"/>
              <w:ind w:left="230"/>
              <w:spacing w:after="0"/>
              <w:rPr>
                <w:sz w:val="20"/>
                <w:szCs w:val="20"/>
                <w:color w:val="auto"/>
              </w:rPr>
            </w:pPr>
            <w:r>
              <w:rPr>
                <w:rFonts w:ascii="Arial" w:cs="Arial" w:eastAsia="Arial" w:hAnsi="Arial"/>
                <w:sz w:val="12"/>
                <w:szCs w:val="12"/>
                <w:b w:val="1"/>
                <w:bCs w:val="1"/>
                <w:color w:val="auto"/>
                <w:w w:val="89"/>
              </w:rPr>
              <w:t>2002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Severance and benefits</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$ 4.8</w:t>
            </w:r>
          </w:p>
        </w:tc>
        <w:tc>
          <w:tcPr>
            <w:tcW w:w="400" w:type="dxa"/>
            <w:vAlign w:val="bottom"/>
            <w:shd w:val="clear" w:color="auto" w:fill="EEEEEE"/>
          </w:tcPr>
          <w:p>
            <w:pPr>
              <w:spacing w:after="0"/>
              <w:rPr>
                <w:sz w:val="16"/>
                <w:szCs w:val="16"/>
                <w:color w:val="auto"/>
              </w:rPr>
            </w:pPr>
          </w:p>
        </w:tc>
        <w:tc>
          <w:tcPr>
            <w:tcW w:w="7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 (2.9)</w:t>
            </w:r>
          </w:p>
        </w:tc>
        <w:tc>
          <w:tcPr>
            <w:tcW w:w="240" w:type="dxa"/>
            <w:vAlign w:val="bottom"/>
            <w:shd w:val="clear" w:color="auto" w:fill="EEEEEE"/>
          </w:tcPr>
          <w:p>
            <w:pPr>
              <w:spacing w:after="0"/>
              <w:rPr>
                <w:sz w:val="16"/>
                <w:szCs w:val="16"/>
                <w:color w:val="auto"/>
              </w:rPr>
            </w:pPr>
          </w:p>
        </w:tc>
        <w:tc>
          <w:tcPr>
            <w:tcW w:w="1060" w:type="dxa"/>
            <w:vAlign w:val="bottom"/>
            <w:gridSpan w:val="8"/>
            <w:shd w:val="clear" w:color="auto" w:fill="EEEEEE"/>
          </w:tcPr>
          <w:p>
            <w:pPr>
              <w:jc w:val="right"/>
              <w:ind w:right="180"/>
              <w:spacing w:after="0"/>
              <w:rPr>
                <w:sz w:val="20"/>
                <w:szCs w:val="20"/>
                <w:color w:val="auto"/>
              </w:rPr>
            </w:pPr>
            <w:r>
              <w:rPr>
                <w:rFonts w:ascii="Arial" w:cs="Arial" w:eastAsia="Arial" w:hAnsi="Arial"/>
                <w:sz w:val="16"/>
                <w:szCs w:val="16"/>
                <w:color w:val="auto"/>
              </w:rPr>
              <w:t>$(2.1)</w:t>
            </w:r>
          </w:p>
        </w:tc>
        <w:tc>
          <w:tcPr>
            <w:tcW w:w="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80" w:type="dxa"/>
            <w:vAlign w:val="bottom"/>
            <w:gridSpan w:val="6"/>
            <w:shd w:val="clear" w:color="auto" w:fill="EEEEEE"/>
          </w:tcPr>
          <w:p>
            <w:pPr>
              <w:jc w:val="right"/>
              <w:ind w:right="5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Other exit costs</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12.3</w:t>
            </w:r>
          </w:p>
        </w:tc>
        <w:tc>
          <w:tcPr>
            <w:tcW w:w="400" w:type="dxa"/>
            <w:vAlign w:val="bottom"/>
          </w:tcPr>
          <w:p>
            <w:pPr>
              <w:spacing w:after="0"/>
              <w:rPr>
                <w:sz w:val="17"/>
                <w:szCs w:val="17"/>
                <w:color w:val="auto"/>
              </w:rPr>
            </w:pPr>
          </w:p>
        </w:tc>
        <w:tc>
          <w:tcPr>
            <w:tcW w:w="760" w:type="dxa"/>
            <w:vAlign w:val="bottom"/>
            <w:gridSpan w:val="7"/>
          </w:tcPr>
          <w:p>
            <w:pPr>
              <w:jc w:val="right"/>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7"/>
          </w:tcPr>
          <w:p>
            <w:pPr>
              <w:jc w:val="right"/>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7"/>
                <w:szCs w:val="17"/>
                <w:color w:val="auto"/>
              </w:rPr>
            </w:pPr>
          </w:p>
        </w:tc>
        <w:tc>
          <w:tcPr>
            <w:tcW w:w="820" w:type="dxa"/>
            <w:vAlign w:val="bottom"/>
            <w:gridSpan w:val="6"/>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7"/>
          </w:tcPr>
          <w:p>
            <w:pPr>
              <w:jc w:val="right"/>
              <w:spacing w:after="0"/>
              <w:rPr>
                <w:sz w:val="20"/>
                <w:szCs w:val="20"/>
                <w:color w:val="auto"/>
              </w:rPr>
            </w:pPr>
            <w:r>
              <w:rPr>
                <w:rFonts w:ascii="Arial" w:cs="Arial" w:eastAsia="Arial" w:hAnsi="Arial"/>
                <w:sz w:val="16"/>
                <w:szCs w:val="16"/>
                <w:color w:val="auto"/>
              </w:rPr>
              <w:t>3.7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$17.1</w:t>
            </w:r>
          </w:p>
        </w:tc>
        <w:tc>
          <w:tcPr>
            <w:tcW w:w="400" w:type="dxa"/>
            <w:vAlign w:val="bottom"/>
            <w:shd w:val="clear" w:color="auto" w:fill="EEEEEE"/>
          </w:tcPr>
          <w:p>
            <w:pPr>
              <w:spacing w:after="0"/>
              <w:rPr>
                <w:sz w:val="16"/>
                <w:szCs w:val="16"/>
                <w:color w:val="auto"/>
              </w:rPr>
            </w:pPr>
          </w:p>
        </w:tc>
        <w:tc>
          <w:tcPr>
            <w:tcW w:w="7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6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$(15.4)</w:t>
            </w:r>
          </w:p>
        </w:tc>
        <w:tc>
          <w:tcPr>
            <w:tcW w:w="240" w:type="dxa"/>
            <w:vAlign w:val="bottom"/>
            <w:shd w:val="clear" w:color="auto" w:fill="EEEEEE"/>
          </w:tcPr>
          <w:p>
            <w:pPr>
              <w:spacing w:after="0"/>
              <w:rPr>
                <w:sz w:val="16"/>
                <w:szCs w:val="16"/>
                <w:color w:val="auto"/>
              </w:rPr>
            </w:pPr>
          </w:p>
        </w:tc>
        <w:tc>
          <w:tcPr>
            <w:tcW w:w="8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$ 1.0</w:t>
            </w:r>
          </w:p>
        </w:tc>
        <w:tc>
          <w:tcPr>
            <w:tcW w:w="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08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$3.7</w:t>
            </w:r>
          </w:p>
        </w:tc>
        <w:tc>
          <w:tcPr>
            <w:tcW w:w="5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1"/>
              </w:rPr>
              <w:t>Balance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w w:val="91"/>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New</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8"/>
              </w:rPr>
              <w:t>Cash</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5"/>
          </w:tcPr>
          <w:p>
            <w:pPr>
              <w:jc w:val="center"/>
              <w:ind w:right="260"/>
              <w:spacing w:after="0" w:line="132" w:lineRule="exact"/>
              <w:rPr>
                <w:sz w:val="20"/>
                <w:szCs w:val="20"/>
                <w:color w:val="auto"/>
              </w:rPr>
            </w:pPr>
            <w:r>
              <w:rPr>
                <w:rFonts w:ascii="Arial" w:cs="Arial" w:eastAsia="Arial" w:hAnsi="Arial"/>
                <w:sz w:val="12"/>
                <w:szCs w:val="12"/>
                <w:b w:val="1"/>
                <w:bCs w:val="1"/>
                <w:color w:val="auto"/>
                <w:w w:val="93"/>
              </w:rPr>
              <w:t>Other</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6"/>
          </w:tcPr>
          <w:p>
            <w:pPr>
              <w:jc w:val="center"/>
              <w:ind w:right="4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4"/>
          </w:tcPr>
          <w:p>
            <w:pPr>
              <w:jc w:val="center"/>
              <w:ind w:left="292"/>
              <w:spacing w:after="0"/>
              <w:rPr>
                <w:sz w:val="20"/>
                <w:szCs w:val="20"/>
                <w:color w:val="auto"/>
              </w:rPr>
            </w:pPr>
            <w:r>
              <w:rPr>
                <w:rFonts w:ascii="Arial" w:cs="Arial" w:eastAsia="Arial" w:hAnsi="Arial"/>
                <w:sz w:val="12"/>
                <w:szCs w:val="12"/>
                <w:b w:val="1"/>
                <w:bCs w:val="1"/>
                <w:color w:val="auto"/>
                <w:w w:val="82"/>
              </w:rPr>
              <w:t>2002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4"/>
          </w:tcPr>
          <w:p>
            <w:pPr>
              <w:ind w:left="20"/>
              <w:spacing w:after="0"/>
              <w:rPr>
                <w:sz w:val="20"/>
                <w:szCs w:val="20"/>
                <w:color w:val="auto"/>
              </w:rPr>
            </w:pPr>
            <w:r>
              <w:rPr>
                <w:rFonts w:ascii="Arial" w:cs="Arial" w:eastAsia="Arial" w:hAnsi="Arial"/>
                <w:sz w:val="12"/>
                <w:szCs w:val="12"/>
                <w:b w:val="1"/>
                <w:bCs w:val="1"/>
                <w:color w:val="auto"/>
                <w:w w:val="91"/>
              </w:rPr>
              <w:t>Charges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jc w:val="center"/>
              <w:ind w:left="20"/>
              <w:spacing w:after="0"/>
              <w:rPr>
                <w:sz w:val="20"/>
                <w:szCs w:val="20"/>
                <w:color w:val="auto"/>
              </w:rPr>
            </w:pPr>
            <w:r>
              <w:rPr>
                <w:rFonts w:ascii="Arial" w:cs="Arial" w:eastAsia="Arial" w:hAnsi="Arial"/>
                <w:sz w:val="12"/>
                <w:szCs w:val="12"/>
                <w:b w:val="1"/>
                <w:bCs w:val="1"/>
                <w:color w:val="auto"/>
                <w:w w:val="88"/>
              </w:rPr>
              <w:t>Payments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6"/>
          </w:tcPr>
          <w:p>
            <w:pPr>
              <w:jc w:val="center"/>
              <w:ind w:right="60"/>
              <w:spacing w:after="0"/>
              <w:rPr>
                <w:sz w:val="20"/>
                <w:szCs w:val="20"/>
                <w:color w:val="auto"/>
              </w:rPr>
            </w:pPr>
            <w:r>
              <w:rPr>
                <w:rFonts w:ascii="Arial" w:cs="Arial" w:eastAsia="Arial" w:hAnsi="Arial"/>
                <w:sz w:val="12"/>
                <w:szCs w:val="12"/>
                <w:b w:val="1"/>
                <w:bCs w:val="1"/>
                <w:color w:val="auto"/>
                <w:w w:val="82"/>
              </w:rPr>
              <w:t>Changes</w:t>
            </w:r>
          </w:p>
        </w:tc>
        <w:tc>
          <w:tcPr>
            <w:tcW w:w="108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gridSpan w:val="2"/>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400" w:type="dxa"/>
            <w:vAlign w:val="bottom"/>
            <w:tcBorders>
              <w:bottom w:val="single" w:sz="8" w:color="808080"/>
            </w:tcBorders>
            <w:gridSpan w:val="2"/>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gridSpan w:val="3"/>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bottom w:val="single" w:sz="8" w:color="808080"/>
            </w:tcBorders>
            <w:gridSpan w:val="2"/>
          </w:tcPr>
          <w:p>
            <w:pPr>
              <w:spacing w:after="0"/>
              <w:rPr>
                <w:sz w:val="7"/>
                <w:szCs w:val="7"/>
                <w:color w:val="auto"/>
              </w:rPr>
            </w:pPr>
          </w:p>
        </w:tc>
        <w:tc>
          <w:tcPr>
            <w:tcW w:w="40" w:type="dxa"/>
            <w:vAlign w:val="bottom"/>
            <w:tcBorders>
              <w:bottom w:val="single" w:sz="8" w:color="808080"/>
            </w:tcBorders>
            <w:gridSpan w:val="2"/>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Other exit costs</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80" w:type="dxa"/>
            <w:vAlign w:val="bottom"/>
            <w:gridSpan w:val="4"/>
            <w:shd w:val="clear" w:color="auto" w:fill="EEEEEE"/>
          </w:tcPr>
          <w:p>
            <w:pPr>
              <w:ind w:left="20"/>
              <w:spacing w:after="0"/>
              <w:rPr>
                <w:sz w:val="20"/>
                <w:szCs w:val="20"/>
                <w:color w:val="auto"/>
              </w:rPr>
            </w:pPr>
            <w:r>
              <w:rPr>
                <w:rFonts w:ascii="Arial" w:cs="Arial" w:eastAsia="Arial" w:hAnsi="Arial"/>
                <w:sz w:val="16"/>
                <w:szCs w:val="16"/>
                <w:color w:val="auto"/>
              </w:rPr>
              <w:t>$  —</w:t>
            </w:r>
          </w:p>
        </w:tc>
        <w:tc>
          <w:tcPr>
            <w:tcW w:w="1300" w:type="dxa"/>
            <w:vAlign w:val="bottom"/>
            <w:gridSpan w:val="8"/>
            <w:shd w:val="clear" w:color="auto" w:fill="EEEEEE"/>
          </w:tcPr>
          <w:p>
            <w:pPr>
              <w:jc w:val="right"/>
              <w:ind w:right="180"/>
              <w:spacing w:after="0"/>
              <w:rPr>
                <w:sz w:val="20"/>
                <w:szCs w:val="20"/>
                <w:color w:val="auto"/>
              </w:rPr>
            </w:pPr>
            <w:r>
              <w:rPr>
                <w:rFonts w:ascii="Arial" w:cs="Arial" w:eastAsia="Arial" w:hAnsi="Arial"/>
                <w:sz w:val="16"/>
                <w:szCs w:val="16"/>
                <w:color w:val="auto"/>
              </w:rPr>
              <w:t>$(3.6)</w:t>
            </w:r>
          </w:p>
        </w:tc>
        <w:tc>
          <w:tcPr>
            <w:tcW w:w="6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760" w:type="dxa"/>
            <w:vAlign w:val="bottom"/>
            <w:gridSpan w:val="6"/>
            <w:shd w:val="clear" w:color="auto" w:fill="EEEEEE"/>
          </w:tcPr>
          <w:p>
            <w:pPr>
              <w:ind w:left="120"/>
              <w:spacing w:after="0"/>
              <w:rPr>
                <w:sz w:val="20"/>
                <w:szCs w:val="20"/>
                <w:color w:val="auto"/>
              </w:rPr>
            </w:pPr>
            <w:r>
              <w:rPr>
                <w:rFonts w:ascii="Arial" w:cs="Arial" w:eastAsia="Arial" w:hAnsi="Arial"/>
                <w:sz w:val="16"/>
                <w:szCs w:val="16"/>
                <w:color w:val="auto"/>
              </w:rPr>
              <w:t>$  —</w:t>
            </w:r>
          </w:p>
        </w:tc>
        <w:tc>
          <w:tcPr>
            <w:tcW w:w="106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-807085</wp:posOffset>
            </wp:positionV>
            <wp:extent cx="1270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-807085</wp:posOffset>
            </wp:positionV>
            <wp:extent cx="1270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-807085</wp:posOffset>
            </wp:positionV>
            <wp:extent cx="1270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-807085</wp:posOffset>
            </wp:positionV>
            <wp:extent cx="12700"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-807085</wp:posOffset>
            </wp:positionV>
            <wp:extent cx="12700"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-807085</wp:posOffset>
            </wp:positionV>
            <wp:extent cx="1270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-807085</wp:posOffset>
            </wp:positionV>
            <wp:extent cx="12700"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-807085</wp:posOffset>
            </wp:positionV>
            <wp:extent cx="12700"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-807085</wp:posOffset>
            </wp:positionV>
            <wp:extent cx="12700"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-807085</wp:posOffset>
            </wp:positionV>
            <wp:extent cx="12700"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-34925</wp:posOffset>
            </wp:positionV>
            <wp:extent cx="12700"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-34925</wp:posOffset>
            </wp:positionV>
            <wp:extent cx="12700"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-34925</wp:posOffset>
            </wp:positionV>
            <wp:extent cx="12700"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-34925</wp:posOffset>
            </wp:positionV>
            <wp:extent cx="1270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-34925</wp:posOffset>
            </wp:positionV>
            <wp:extent cx="12700"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-34925</wp:posOffset>
            </wp:positionV>
            <wp:extent cx="12700"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-34925</wp:posOffset>
            </wp:positionV>
            <wp:extent cx="12700"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5487670</wp:posOffset>
            </wp:positionH>
            <wp:positionV relativeFrom="paragraph">
              <wp:posOffset>-34925</wp:posOffset>
            </wp:positionV>
            <wp:extent cx="1270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-34925</wp:posOffset>
            </wp:positionV>
            <wp:extent cx="12700"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-34925</wp:posOffset>
            </wp:positionV>
            <wp:extent cx="12700"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5" w:right="140" w:firstLine="286"/>
        <w:spacing w:after="0" w:line="256" w:lineRule="auto"/>
        <w:rPr>
          <w:sz w:val="20"/>
          <w:szCs w:val="20"/>
          <w:color w:val="auto"/>
        </w:rPr>
      </w:pPr>
      <w:r>
        <w:rPr>
          <w:rFonts w:ascii="Arial" w:cs="Arial" w:eastAsia="Arial" w:hAnsi="Arial"/>
          <w:sz w:val="16"/>
          <w:szCs w:val="16"/>
          <w:color w:val="auto"/>
        </w:rPr>
        <w:t>The original severance charge of $4.8 million included the termination of 605 employees. All employee termination actions have been completed. The original “Other exit costs” charged included $4.7 million to complete in-process commercial construction jobs at the exit date, $4.7 million for non-cancelable operating lease commitments on closed service center facilities and $2.9 million of other closure-related costs.</w:t>
      </w:r>
    </w:p>
    <w:p>
      <w:pPr>
        <w:spacing w:after="0" w:line="198" w:lineRule="exact"/>
        <w:rPr>
          <w:sz w:val="20"/>
          <w:szCs w:val="20"/>
          <w:color w:val="auto"/>
        </w:rPr>
      </w:pPr>
    </w:p>
    <w:p>
      <w:pPr>
        <w:ind w:left="5" w:right="80" w:firstLine="286"/>
        <w:spacing w:after="0" w:line="264" w:lineRule="auto"/>
        <w:rPr>
          <w:sz w:val="20"/>
          <w:szCs w:val="20"/>
          <w:color w:val="auto"/>
        </w:rPr>
      </w:pPr>
      <w:r>
        <w:rPr>
          <w:rFonts w:ascii="Arial" w:cs="Arial" w:eastAsia="Arial" w:hAnsi="Arial"/>
          <w:sz w:val="16"/>
          <w:szCs w:val="16"/>
          <w:color w:val="auto"/>
        </w:rPr>
        <w:t>In the third and fourth quarter of 2001, the Company identified an additional 15 centers for closure. The $1.0 million of new charges in the above table, of which $0.4 million was recognized in 2001 and $0.6 million in 2002, reflects the Company’s estimate of costs related to closure of these centers.</w:t>
      </w:r>
    </w:p>
    <w:p>
      <w:pPr>
        <w:spacing w:after="0" w:line="192" w:lineRule="exact"/>
        <w:rPr>
          <w:sz w:val="20"/>
          <w:szCs w:val="20"/>
          <w:color w:val="auto"/>
        </w:rPr>
      </w:pPr>
    </w:p>
    <w:p>
      <w:pPr>
        <w:ind w:left="5" w:right="300" w:firstLine="286"/>
        <w:spacing w:after="0" w:line="264" w:lineRule="auto"/>
        <w:rPr>
          <w:sz w:val="20"/>
          <w:szCs w:val="20"/>
          <w:color w:val="auto"/>
        </w:rPr>
      </w:pPr>
      <w:r>
        <w:rPr>
          <w:rFonts w:ascii="Arial" w:cs="Arial" w:eastAsia="Arial" w:hAnsi="Arial"/>
          <w:sz w:val="16"/>
          <w:szCs w:val="16"/>
          <w:color w:val="auto"/>
        </w:rPr>
        <w:t>The other changes of $(2.1) million in severance and benefits included in the above table were revisions to the original number of employees to be terminated as a result of the Company finding buyers for service</w:t>
      </w:r>
    </w:p>
    <w:p>
      <w:pPr>
        <w:spacing w:after="0" w:line="168"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centers that had previously been identified for closure. Approximately $(1.9) million was recognized in 2001 with the remaining $(0.2) million being recognized in 2002. The other changes in “Other exit costs” included in the above table relate to higher-than-expected costs to complete the in-process commercial jobs at closed centers. Approximately $3.3 million was recognized in 2001 with the remaining $(0.2) million being recognized in 2002.</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 impairments included in the restructuring charge consisted of the following:</w:t>
      </w:r>
    </w:p>
    <w:p>
      <w:pPr>
        <w:spacing w:after="0" w:line="222" w:lineRule="exact"/>
        <w:rPr>
          <w:sz w:val="20"/>
          <w:szCs w:val="20"/>
          <w:color w:val="auto"/>
        </w:rPr>
      </w:pPr>
    </w:p>
    <w:p>
      <w:pPr>
        <w:jc w:val="both"/>
        <w:ind w:right="60" w:firstLine="286"/>
        <w:spacing w:after="0" w:line="256" w:lineRule="auto"/>
        <w:rPr>
          <w:sz w:val="20"/>
          <w:szCs w:val="20"/>
          <w:color w:val="auto"/>
        </w:rPr>
      </w:pPr>
      <w:r>
        <w:rPr>
          <w:rFonts w:ascii="Arial" w:cs="Arial" w:eastAsia="Arial" w:hAnsi="Arial"/>
          <w:sz w:val="16"/>
          <w:szCs w:val="16"/>
          <w:color w:val="auto"/>
        </w:rPr>
        <w:t>The restructuring charge included impairments of $6.6 million for long-lived assets, principally property, plant and equipment used in the operations of the closed service centers, $5.7 million in goodwill, $3.4 million for inventory write-downs (included as a component of cost of goods sold) and $5.2 million in accounts receivable. All asset impairment charges were related to assets included in the Service Experts reportable segment.</w:t>
      </w:r>
    </w:p>
    <w:p>
      <w:pPr>
        <w:spacing w:after="0" w:line="198" w:lineRule="exact"/>
        <w:rPr>
          <w:sz w:val="20"/>
          <w:szCs w:val="20"/>
          <w:color w:val="auto"/>
        </w:rPr>
      </w:pPr>
    </w:p>
    <w:p>
      <w:pPr>
        <w:ind w:firstLine="286"/>
        <w:spacing w:after="0" w:line="252" w:lineRule="auto"/>
        <w:rPr>
          <w:sz w:val="20"/>
          <w:szCs w:val="20"/>
          <w:color w:val="auto"/>
        </w:rPr>
      </w:pPr>
      <w:r>
        <w:rPr>
          <w:rFonts w:ascii="Arial" w:cs="Arial" w:eastAsia="Arial" w:hAnsi="Arial"/>
          <w:sz w:val="16"/>
          <w:szCs w:val="16"/>
          <w:color w:val="auto"/>
        </w:rPr>
        <w:t>The impairment charges for the long-lived assets reduced the carrying amount of the assets to management’s estimate of fair value that was based primarily on the estimated proceeds, if any, to be generated from the sale or disposal of the assets. The property, plant and equipment carrying value after consideration of the impairment charge was immaterial. The goodwill impairment charge reduced to zero any goodwill that had been recorded in conjunction with acquisitions of specific service centers that were completely idled and for which expected future cash flows were not sufficient to cover the related property, plant and equipment. For the year ended December 31, 2002, the Company recognized as a component of the Restructurings line item in the accompanying Consolidated Statements of Operations $0.2 million in net gains that represent differences between the original estimate of fair value and actual proceeds received.</w:t>
      </w:r>
    </w:p>
    <w:p>
      <w:pPr>
        <w:spacing w:after="0" w:line="200" w:lineRule="exact"/>
        <w:rPr>
          <w:sz w:val="20"/>
          <w:szCs w:val="20"/>
          <w:color w:val="auto"/>
        </w:rPr>
      </w:pPr>
    </w:p>
    <w:p>
      <w:pPr>
        <w:ind w:right="200" w:firstLine="286"/>
        <w:spacing w:after="0" w:line="301" w:lineRule="auto"/>
        <w:rPr>
          <w:sz w:val="20"/>
          <w:szCs w:val="20"/>
          <w:color w:val="auto"/>
        </w:rPr>
      </w:pPr>
      <w:r>
        <w:rPr>
          <w:rFonts w:ascii="Arial" w:cs="Arial" w:eastAsia="Arial" w:hAnsi="Arial"/>
          <w:sz w:val="14"/>
          <w:szCs w:val="14"/>
          <w:color w:val="auto"/>
        </w:rPr>
        <w:t>The inventory and accounts receivable impairment charges recorded in conjunction with the restructuring reduced the carrying value of service center inventories and accounts receivables to net realizable value. These revisions to net realizable value resulted directly from the Company’s decision to close the related service center operations. For the year ended December 31, 2002, the Company has recognized as a component of the Restructurings line item in the accompanying Consolidated Statements of Operations, $0.3 million in net gains that represent differences between the original estimate of net realizable value and actual proceeds received.</w:t>
      </w:r>
    </w:p>
    <w:p>
      <w:pPr>
        <w:spacing w:after="0" w:line="170" w:lineRule="exact"/>
        <w:rPr>
          <w:sz w:val="20"/>
          <w:szCs w:val="20"/>
          <w:color w:val="auto"/>
        </w:rPr>
      </w:pPr>
    </w:p>
    <w:p>
      <w:pPr>
        <w:ind w:right="100" w:firstLine="286"/>
        <w:spacing w:after="0" w:line="297" w:lineRule="auto"/>
        <w:rPr>
          <w:sz w:val="20"/>
          <w:szCs w:val="20"/>
          <w:color w:val="auto"/>
        </w:rPr>
      </w:pPr>
      <w:r>
        <w:rPr>
          <w:rFonts w:ascii="Arial" w:cs="Arial" w:eastAsia="Arial" w:hAnsi="Arial"/>
          <w:sz w:val="14"/>
          <w:szCs w:val="14"/>
          <w:i w:val="1"/>
          <w:iCs w:val="1"/>
          <w:color w:val="auto"/>
        </w:rPr>
        <w:t xml:space="preserve">Manufacturing and Distribution Restructuring Program. </w:t>
      </w:r>
      <w:r>
        <w:rPr>
          <w:rFonts w:ascii="Arial" w:cs="Arial" w:eastAsia="Arial" w:hAnsi="Arial"/>
          <w:sz w:val="14"/>
          <w:szCs w:val="14"/>
          <w:color w:val="auto"/>
        </w:rPr>
        <w:t>In the fourth quarter of 2001, the Company recorded pre-tax restructuring charges totaling $35.2 million ($31.0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net of tax) for severance and other exit costs that resulted from the Company’s decision to sell or abandon certain manufacturing and distribution operations. Inventory impairments of $4.4 million were included in cost of goods sold. The major actions included in the plan were the closing of a domestic distribution facility, the Company’s Mexico sales office, manufacturing plants in Canada, Australia and Europe and the disposal of other non-core Heat Transfer businesses, which have been completed. The revenue and net operating loss of separately identifiable operations were $36.3 million and $2.3 million, respectively, for the year ended December 31, 2001.</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the asset impairments by action and the operating segment impacted are included in the following table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7"/>
          </w:tcPr>
          <w:p>
            <w:pPr>
              <w:ind w:left="40"/>
              <w:spacing w:after="0"/>
              <w:rPr>
                <w:sz w:val="20"/>
                <w:szCs w:val="20"/>
                <w:color w:val="auto"/>
              </w:rPr>
            </w:pPr>
            <w:r>
              <w:rPr>
                <w:rFonts w:ascii="Arial" w:cs="Arial" w:eastAsia="Arial" w:hAnsi="Arial"/>
                <w:sz w:val="12"/>
                <w:szCs w:val="12"/>
                <w:b w:val="1"/>
                <w:bCs w:val="1"/>
                <w:color w:val="auto"/>
                <w:w w:val="92"/>
              </w:rPr>
              <w:t>Asset Impairments and Write-Downs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5"/>
          </w:tcPr>
          <w:p>
            <w:pPr>
              <w:jc w:val="center"/>
              <w:ind w:right="480"/>
              <w:spacing w:after="0"/>
              <w:rPr>
                <w:sz w:val="20"/>
                <w:szCs w:val="20"/>
                <w:color w:val="auto"/>
              </w:rPr>
            </w:pPr>
            <w:r>
              <w:rPr>
                <w:rFonts w:ascii="Arial" w:cs="Arial" w:eastAsia="Arial" w:hAnsi="Arial"/>
                <w:sz w:val="12"/>
                <w:szCs w:val="12"/>
                <w:b w:val="1"/>
                <w:bCs w:val="1"/>
                <w:color w:val="auto"/>
                <w:w w:val="84"/>
              </w:rPr>
              <w:t>Accounts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gridSpan w:val="2"/>
          </w:tcPr>
          <w:p>
            <w:pPr>
              <w:ind w:left="1440"/>
              <w:spacing w:after="0"/>
              <w:rPr>
                <w:sz w:val="20"/>
                <w:szCs w:val="20"/>
                <w:color w:val="auto"/>
              </w:rPr>
            </w:pPr>
            <w:r>
              <w:rPr>
                <w:rFonts w:ascii="Arial" w:cs="Arial" w:eastAsia="Arial" w:hAnsi="Arial"/>
                <w:sz w:val="12"/>
                <w:szCs w:val="12"/>
                <w:b w:val="1"/>
                <w:bCs w:val="1"/>
                <w:color w:val="auto"/>
              </w:rPr>
              <w:t>Major Action and Operating Segment Impacted:</w:t>
            </w:r>
          </w:p>
        </w:tc>
        <w:tc>
          <w:tcPr>
            <w:tcW w:w="760" w:type="dxa"/>
            <w:vAlign w:val="bottom"/>
            <w:gridSpan w:val="4"/>
          </w:tcPr>
          <w:p>
            <w:pPr>
              <w:ind w:left="200"/>
              <w:spacing w:after="0"/>
              <w:rPr>
                <w:sz w:val="20"/>
                <w:szCs w:val="20"/>
                <w:color w:val="auto"/>
              </w:rPr>
            </w:pPr>
            <w:r>
              <w:rPr>
                <w:rFonts w:ascii="Arial" w:cs="Arial" w:eastAsia="Arial" w:hAnsi="Arial"/>
                <w:sz w:val="12"/>
                <w:szCs w:val="12"/>
                <w:b w:val="1"/>
                <w:bCs w:val="1"/>
                <w:color w:val="auto"/>
              </w:rPr>
              <w:t>PP &amp; E</w:t>
            </w:r>
          </w:p>
        </w:tc>
        <w:tc>
          <w:tcPr>
            <w:tcW w:w="300" w:type="dxa"/>
            <w:vAlign w:val="bottom"/>
          </w:tcPr>
          <w:p>
            <w:pPr>
              <w:spacing w:after="0"/>
              <w:rPr>
                <w:sz w:val="13"/>
                <w:szCs w:val="13"/>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Goodwill</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5"/>
          </w:tcPr>
          <w:p>
            <w:pPr>
              <w:jc w:val="center"/>
              <w:ind w:right="480"/>
              <w:spacing w:after="0"/>
              <w:rPr>
                <w:sz w:val="20"/>
                <w:szCs w:val="20"/>
                <w:color w:val="auto"/>
              </w:rPr>
            </w:pPr>
            <w:r>
              <w:rPr>
                <w:rFonts w:ascii="Arial" w:cs="Arial" w:eastAsia="Arial" w:hAnsi="Arial"/>
                <w:sz w:val="12"/>
                <w:szCs w:val="12"/>
                <w:b w:val="1"/>
                <w:bCs w:val="1"/>
                <w:color w:val="auto"/>
                <w:w w:val="86"/>
              </w:rPr>
              <w:t>Receivable</w:t>
            </w:r>
          </w:p>
        </w:tc>
        <w:tc>
          <w:tcPr>
            <w:tcW w:w="8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Inventory</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Residential segment:</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tcPr>
          <w:p>
            <w:pPr>
              <w:ind w:left="280"/>
              <w:spacing w:after="0"/>
              <w:rPr>
                <w:sz w:val="20"/>
                <w:szCs w:val="20"/>
                <w:color w:val="auto"/>
              </w:rPr>
            </w:pPr>
            <w:r>
              <w:rPr>
                <w:rFonts w:ascii="Arial" w:cs="Arial" w:eastAsia="Arial" w:hAnsi="Arial"/>
                <w:sz w:val="16"/>
                <w:szCs w:val="16"/>
                <w:color w:val="auto"/>
              </w:rPr>
              <w:t>Canadian manufacturing facility</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5"/>
          </w:tcPr>
          <w:p>
            <w:pPr>
              <w:jc w:val="right"/>
              <w:ind w:right="820"/>
              <w:spacing w:after="0"/>
              <w:rPr>
                <w:sz w:val="20"/>
                <w:szCs w:val="20"/>
                <w:color w:val="auto"/>
              </w:rPr>
            </w:pPr>
            <w:r>
              <w:rPr>
                <w:rFonts w:ascii="Arial" w:cs="Arial" w:eastAsia="Arial" w:hAnsi="Arial"/>
                <w:sz w:val="16"/>
                <w:szCs w:val="16"/>
                <w:color w:val="auto"/>
              </w:rPr>
              <w:t>$ —</w:t>
            </w:r>
          </w:p>
        </w:tc>
        <w:tc>
          <w:tcPr>
            <w:tcW w:w="820" w:type="dxa"/>
            <w:vAlign w:val="bottom"/>
            <w:gridSpan w:val="3"/>
          </w:tcPr>
          <w:p>
            <w:pPr>
              <w:jc w:val="right"/>
              <w:ind w:right="340"/>
              <w:spacing w:after="0"/>
              <w:rPr>
                <w:sz w:val="20"/>
                <w:szCs w:val="20"/>
                <w:color w:val="auto"/>
              </w:rPr>
            </w:pPr>
            <w:r>
              <w:rPr>
                <w:rFonts w:ascii="Arial" w:cs="Arial" w:eastAsia="Arial" w:hAnsi="Arial"/>
                <w:sz w:val="16"/>
                <w:szCs w:val="16"/>
                <w:color w:val="auto"/>
              </w:rPr>
              <w:t>$ —</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Domestic distribution facility</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0.5</w:t>
            </w: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1020" w:type="dxa"/>
            <w:vAlign w:val="bottom"/>
            <w:gridSpan w:val="4"/>
            <w:shd w:val="clear" w:color="auto" w:fill="EEEEEE"/>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1.0</w:t>
            </w: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gridSpan w:val="3"/>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680" w:type="dxa"/>
            <w:vAlign w:val="bottom"/>
            <w:gridSpan w:val="2"/>
          </w:tcPr>
          <w:p>
            <w:pPr>
              <w:ind w:left="600"/>
              <w:spacing w:after="0"/>
              <w:rPr>
                <w:sz w:val="20"/>
                <w:szCs w:val="20"/>
                <w:color w:val="auto"/>
              </w:rPr>
            </w:pPr>
            <w:r>
              <w:rPr>
                <w:rFonts w:ascii="Arial" w:cs="Arial" w:eastAsia="Arial" w:hAnsi="Arial"/>
                <w:sz w:val="16"/>
                <w:szCs w:val="16"/>
                <w:color w:val="auto"/>
              </w:rPr>
              <w:t>Residential segment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4"/>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Commercial segment:</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tcPr>
          <w:p>
            <w:pPr>
              <w:ind w:left="280"/>
              <w:spacing w:after="0"/>
              <w:rPr>
                <w:sz w:val="20"/>
                <w:szCs w:val="20"/>
                <w:color w:val="auto"/>
              </w:rPr>
            </w:pPr>
            <w:r>
              <w:rPr>
                <w:rFonts w:ascii="Arial" w:cs="Arial" w:eastAsia="Arial" w:hAnsi="Arial"/>
                <w:sz w:val="16"/>
                <w:szCs w:val="16"/>
                <w:color w:val="auto"/>
              </w:rPr>
              <w:t>Australian manufacturing facility</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4"/>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Closure of Mexico sales office</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1.0</w:t>
            </w: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680" w:type="dxa"/>
            <w:vAlign w:val="bottom"/>
            <w:gridSpan w:val="2"/>
          </w:tcPr>
          <w:p>
            <w:pPr>
              <w:ind w:left="600"/>
              <w:spacing w:after="0"/>
              <w:rPr>
                <w:sz w:val="20"/>
                <w:szCs w:val="20"/>
                <w:color w:val="auto"/>
              </w:rPr>
            </w:pPr>
            <w:r>
              <w:rPr>
                <w:rFonts w:ascii="Arial" w:cs="Arial" w:eastAsia="Arial" w:hAnsi="Arial"/>
                <w:sz w:val="16"/>
                <w:szCs w:val="16"/>
                <w:color w:val="auto"/>
              </w:rPr>
              <w:t>Commercial segment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Refrigeration segment:</w:t>
            </w:r>
          </w:p>
        </w:tc>
        <w:tc>
          <w:tcPr>
            <w:tcW w:w="3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tcPr>
          <w:p>
            <w:pPr>
              <w:ind w:left="280"/>
              <w:spacing w:after="0"/>
              <w:rPr>
                <w:sz w:val="20"/>
                <w:szCs w:val="20"/>
                <w:color w:val="auto"/>
              </w:rPr>
            </w:pPr>
            <w:r>
              <w:rPr>
                <w:rFonts w:ascii="Arial" w:cs="Arial" w:eastAsia="Arial" w:hAnsi="Arial"/>
                <w:sz w:val="16"/>
                <w:szCs w:val="16"/>
                <w:color w:val="auto"/>
              </w:rPr>
              <w:t>European manufacturing facility</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4"/>
          </w:tcPr>
          <w:p>
            <w:pPr>
              <w:jc w:val="right"/>
              <w:ind w:right="82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Heat Transfer segment — engineering business</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EEEEEE"/>
          </w:tcPr>
          <w:p>
            <w:pPr>
              <w:spacing w:after="0"/>
              <w:rPr>
                <w:sz w:val="16"/>
                <w:szCs w:val="16"/>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5.8</w:t>
            </w: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0.8</w:t>
            </w: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3"/>
              </w:rPr>
              <w:t>17.9</w:t>
            </w: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680" w:type="dxa"/>
            <w:vAlign w:val="bottom"/>
            <w:gridSpan w:val="2"/>
          </w:tcPr>
          <w:p>
            <w:pPr>
              <w:ind w:left="920"/>
              <w:spacing w:after="0"/>
              <w:rPr>
                <w:sz w:val="20"/>
                <w:szCs w:val="20"/>
                <w:color w:val="auto"/>
              </w:rPr>
            </w:pPr>
            <w:r>
              <w:rPr>
                <w:rFonts w:ascii="Arial" w:cs="Arial" w:eastAsia="Arial" w:hAnsi="Arial"/>
                <w:sz w:val="16"/>
                <w:szCs w:val="16"/>
                <w:color w:val="auto"/>
              </w:rPr>
              <w:t>Total</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10.9</w:t>
            </w:r>
          </w:p>
        </w:tc>
        <w:tc>
          <w:tcPr>
            <w:tcW w:w="10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3"/>
              </w:rPr>
              <w:t>25.8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-34925</wp:posOffset>
            </wp:positionV>
            <wp:extent cx="12700"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-34925</wp:posOffset>
            </wp:positionV>
            <wp:extent cx="12700"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-34925</wp:posOffset>
            </wp:positionV>
            <wp:extent cx="1270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-34925</wp:posOffset>
            </wp:positionV>
            <wp:extent cx="1270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-34925</wp:posOffset>
            </wp:positionV>
            <wp:extent cx="12700"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-34925</wp:posOffset>
            </wp:positionV>
            <wp:extent cx="1270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-34925</wp:posOffset>
            </wp:positionV>
            <wp:extent cx="1270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6257290</wp:posOffset>
            </wp:positionH>
            <wp:positionV relativeFrom="paragraph">
              <wp:posOffset>-34925</wp:posOffset>
            </wp:positionV>
            <wp:extent cx="12700"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7113270</wp:posOffset>
            </wp:positionH>
            <wp:positionV relativeFrom="paragraph">
              <wp:posOffset>-34925</wp:posOffset>
            </wp:positionV>
            <wp:extent cx="12700"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6946900</wp:posOffset>
            </wp:positionH>
            <wp:positionV relativeFrom="paragraph">
              <wp:posOffset>-34925</wp:posOffset>
            </wp:positionV>
            <wp:extent cx="12700"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right="40" w:firstLine="286"/>
        <w:spacing w:after="0" w:line="297" w:lineRule="auto"/>
        <w:rPr>
          <w:sz w:val="20"/>
          <w:szCs w:val="20"/>
          <w:color w:val="auto"/>
        </w:rPr>
      </w:pPr>
      <w:r>
        <w:rPr>
          <w:rFonts w:ascii="Arial" w:cs="Arial" w:eastAsia="Arial" w:hAnsi="Arial"/>
          <w:sz w:val="14"/>
          <w:szCs w:val="14"/>
          <w:color w:val="auto"/>
        </w:rPr>
        <w:t>The property, plant and equipment impairment consisted primarily of manufacturing equipment written down to the cash expected to be received upon sale or abandonment, if any. The goodwill impairment charges reduced the goodwill associated with the closed operation to zero. The accounts receivable and inventory write-downs were recorded in conjunction with the restructuring since the decisions to close the operations directly impacted the net realizable value of the related assets. Included in restructurings in the accompanying Consolidated Statements of Operations for the year ended December 31, 2002 are $2.0 million of net gains upon disposal of these impaired assets that resulted from differences between original estimates of fair and net realizable value and amounts realized upon disposal.</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 summary of the severance and other exit costs associated with the Manufacturing and Distribution Restructuring Program are included in the following table (in millions):</w:t>
      </w:r>
    </w:p>
    <w:p>
      <w:pPr>
        <w:spacing w:after="0" w:line="200" w:lineRule="exact"/>
        <w:rPr>
          <w:sz w:val="20"/>
          <w:szCs w:val="20"/>
          <w:color w:val="auto"/>
        </w:rPr>
      </w:pP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5"/>
          </w:tcPr>
          <w:p>
            <w:pPr>
              <w:jc w:val="center"/>
              <w:ind w:right="240"/>
              <w:spacing w:after="0" w:line="132" w:lineRule="exact"/>
              <w:rPr>
                <w:sz w:val="20"/>
                <w:szCs w:val="20"/>
                <w:color w:val="auto"/>
              </w:rPr>
            </w:pPr>
            <w:r>
              <w:rPr>
                <w:rFonts w:ascii="Arial" w:cs="Arial" w:eastAsia="Arial" w:hAnsi="Arial"/>
                <w:sz w:val="12"/>
                <w:szCs w:val="12"/>
                <w:b w:val="1"/>
                <w:bCs w:val="1"/>
                <w:color w:val="auto"/>
                <w:w w:val="96"/>
              </w:rPr>
              <w:t>Original</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6"/>
          </w:tcPr>
          <w:p>
            <w:pPr>
              <w:ind w:left="200"/>
              <w:spacing w:after="0" w:line="132" w:lineRule="exact"/>
              <w:rPr>
                <w:sz w:val="20"/>
                <w:szCs w:val="20"/>
                <w:color w:val="auto"/>
              </w:rPr>
            </w:pPr>
            <w:r>
              <w:rPr>
                <w:rFonts w:ascii="Arial" w:cs="Arial" w:eastAsia="Arial" w:hAnsi="Arial"/>
                <w:sz w:val="12"/>
                <w:szCs w:val="12"/>
                <w:b w:val="1"/>
                <w:bCs w:val="1"/>
                <w:color w:val="auto"/>
              </w:rPr>
              <w:t>New</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6"/>
          </w:tcPr>
          <w:p>
            <w:pPr>
              <w:jc w:val="right"/>
              <w:ind w:right="380"/>
              <w:spacing w:after="0" w:line="132" w:lineRule="exact"/>
              <w:rPr>
                <w:sz w:val="20"/>
                <w:szCs w:val="20"/>
                <w:color w:val="auto"/>
              </w:rPr>
            </w:pPr>
            <w:r>
              <w:rPr>
                <w:rFonts w:ascii="Arial" w:cs="Arial" w:eastAsia="Arial" w:hAnsi="Arial"/>
                <w:sz w:val="12"/>
                <w:szCs w:val="12"/>
                <w:b w:val="1"/>
                <w:bCs w:val="1"/>
                <w:color w:val="auto"/>
              </w:rPr>
              <w:t>Cash</w:t>
            </w:r>
          </w:p>
        </w:tc>
        <w:tc>
          <w:tcPr>
            <w:tcW w:w="300" w:type="dxa"/>
            <w:vAlign w:val="bottom"/>
          </w:tcPr>
          <w:p>
            <w:pPr>
              <w:spacing w:after="0"/>
              <w:rPr>
                <w:sz w:val="11"/>
                <w:szCs w:val="11"/>
                <w:color w:val="auto"/>
              </w:rPr>
            </w:pPr>
          </w:p>
        </w:tc>
        <w:tc>
          <w:tcPr>
            <w:tcW w:w="8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3"/>
              </w:rPr>
              <w:t>Other</w:t>
            </w:r>
          </w:p>
        </w:tc>
        <w:tc>
          <w:tcPr>
            <w:tcW w:w="280" w:type="dxa"/>
            <w:vAlign w:val="bottom"/>
          </w:tcPr>
          <w:p>
            <w:pPr>
              <w:spacing w:after="0"/>
              <w:rPr>
                <w:sz w:val="11"/>
                <w:szCs w:val="11"/>
                <w:color w:val="auto"/>
              </w:rPr>
            </w:pPr>
          </w:p>
        </w:tc>
        <w:tc>
          <w:tcPr>
            <w:tcW w:w="140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w w:val="91"/>
              </w:rPr>
              <w:t>Charge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6"/>
          </w:tcPr>
          <w:p>
            <w:pPr>
              <w:ind w:left="100"/>
              <w:spacing w:after="0"/>
              <w:rPr>
                <w:sz w:val="20"/>
                <w:szCs w:val="20"/>
                <w:color w:val="auto"/>
              </w:rPr>
            </w:pPr>
            <w:r>
              <w:rPr>
                <w:rFonts w:ascii="Arial" w:cs="Arial" w:eastAsia="Arial" w:hAnsi="Arial"/>
                <w:sz w:val="12"/>
                <w:szCs w:val="12"/>
                <w:b w:val="1"/>
                <w:bCs w:val="1"/>
                <w:color w:val="auto"/>
              </w:rPr>
              <w:t>Charges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Payments</w:t>
            </w:r>
          </w:p>
        </w:tc>
        <w:tc>
          <w:tcPr>
            <w:tcW w:w="30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Changes</w:t>
            </w:r>
          </w:p>
        </w:tc>
        <w:tc>
          <w:tcPr>
            <w:tcW w:w="1680" w:type="dxa"/>
            <w:vAlign w:val="bottom"/>
            <w:gridSpan w:val="4"/>
          </w:tcPr>
          <w:p>
            <w:pPr>
              <w:jc w:val="center"/>
              <w:ind w:left="207"/>
              <w:spacing w:after="0"/>
              <w:rPr>
                <w:sz w:val="20"/>
                <w:szCs w:val="20"/>
                <w:color w:val="auto"/>
              </w:rPr>
            </w:pPr>
            <w:r>
              <w:rPr>
                <w:rFonts w:ascii="Arial" w:cs="Arial" w:eastAsia="Arial" w:hAnsi="Arial"/>
                <w:sz w:val="12"/>
                <w:szCs w:val="12"/>
                <w:b w:val="1"/>
                <w:bCs w:val="1"/>
                <w:color w:val="auto"/>
                <w:w w:val="89"/>
              </w:rPr>
              <w:t>2002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12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Severance and benefits</w:t>
            </w:r>
          </w:p>
        </w:tc>
        <w:tc>
          <w:tcPr>
            <w:tcW w:w="58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$6.0</w:t>
            </w:r>
          </w:p>
        </w:tc>
        <w:tc>
          <w:tcPr>
            <w:tcW w:w="380" w:type="dxa"/>
            <w:vAlign w:val="bottom"/>
            <w:shd w:val="clear" w:color="auto" w:fill="EEEEEE"/>
          </w:tcPr>
          <w:p>
            <w:pPr>
              <w:spacing w:after="0"/>
              <w:rPr>
                <w:sz w:val="16"/>
                <w:szCs w:val="16"/>
                <w:color w:val="auto"/>
              </w:rPr>
            </w:pPr>
          </w:p>
        </w:tc>
        <w:tc>
          <w:tcPr>
            <w:tcW w:w="78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00" w:type="dxa"/>
            <w:vAlign w:val="bottom"/>
            <w:gridSpan w:val="9"/>
            <w:shd w:val="clear" w:color="auto" w:fill="EEEEEE"/>
          </w:tcPr>
          <w:p>
            <w:pPr>
              <w:jc w:val="right"/>
              <w:ind w:right="240"/>
              <w:spacing w:after="0"/>
              <w:rPr>
                <w:sz w:val="20"/>
                <w:szCs w:val="20"/>
                <w:color w:val="auto"/>
              </w:rPr>
            </w:pPr>
            <w:r>
              <w:rPr>
                <w:rFonts w:ascii="Arial" w:cs="Arial" w:eastAsia="Arial" w:hAnsi="Arial"/>
                <w:sz w:val="16"/>
                <w:szCs w:val="16"/>
                <w:color w:val="auto"/>
              </w:rPr>
              <w:t>$ (7.7)</w:t>
            </w: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$ 0.3</w:t>
            </w:r>
          </w:p>
        </w:tc>
        <w:tc>
          <w:tcPr>
            <w:tcW w:w="300" w:type="dxa"/>
            <w:vAlign w:val="bottom"/>
            <w:shd w:val="clear" w:color="auto" w:fill="EEEEEE"/>
          </w:tcPr>
          <w:p>
            <w:pPr>
              <w:spacing w:after="0"/>
              <w:rPr>
                <w:sz w:val="16"/>
                <w:szCs w:val="16"/>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w:t>
            </w:r>
          </w:p>
        </w:tc>
        <w:tc>
          <w:tcPr>
            <w:tcW w:w="6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Other exit costs</w:t>
            </w:r>
          </w:p>
        </w:tc>
        <w:tc>
          <w:tcPr>
            <w:tcW w:w="580" w:type="dxa"/>
            <w:vAlign w:val="bottom"/>
            <w:gridSpan w:val="5"/>
          </w:tcPr>
          <w:p>
            <w:pPr>
              <w:jc w:val="right"/>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7"/>
                <w:szCs w:val="17"/>
                <w:color w:val="auto"/>
              </w:rPr>
            </w:pPr>
          </w:p>
        </w:tc>
        <w:tc>
          <w:tcPr>
            <w:tcW w:w="780" w:type="dxa"/>
            <w:vAlign w:val="bottom"/>
            <w:gridSpan w:val="7"/>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9"/>
          </w:tcPr>
          <w:p>
            <w:pPr>
              <w:jc w:val="right"/>
              <w:ind w:right="240"/>
              <w:spacing w:after="0"/>
              <w:rPr>
                <w:sz w:val="20"/>
                <w:szCs w:val="20"/>
                <w:color w:val="auto"/>
              </w:rPr>
            </w:pPr>
            <w:r>
              <w:rPr>
                <w:rFonts w:ascii="Arial" w:cs="Arial" w:eastAsia="Arial" w:hAnsi="Arial"/>
                <w:sz w:val="16"/>
                <w:szCs w:val="16"/>
                <w:color w:val="auto"/>
              </w:rPr>
              <w:t>(2.3)</w:t>
            </w:r>
          </w:p>
        </w:tc>
        <w:tc>
          <w:tcPr>
            <w:tcW w:w="1140" w:type="dxa"/>
            <w:vAlign w:val="bottom"/>
            <w:gridSpan w:val="4"/>
          </w:tcPr>
          <w:p>
            <w:pPr>
              <w:jc w:val="right"/>
              <w:ind w:right="240"/>
              <w:spacing w:after="0"/>
              <w:rPr>
                <w:sz w:val="20"/>
                <w:szCs w:val="20"/>
                <w:color w:val="auto"/>
              </w:rPr>
            </w:pPr>
            <w:r>
              <w:rPr>
                <w:rFonts w:ascii="Arial" w:cs="Arial" w:eastAsia="Arial" w:hAnsi="Arial"/>
                <w:sz w:val="16"/>
                <w:szCs w:val="16"/>
                <w:color w:val="auto"/>
              </w:rPr>
              <w:t>(0.9)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58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$9.4</w:t>
            </w:r>
          </w:p>
        </w:tc>
        <w:tc>
          <w:tcPr>
            <w:tcW w:w="380" w:type="dxa"/>
            <w:vAlign w:val="bottom"/>
            <w:shd w:val="clear" w:color="auto" w:fill="EEEEEE"/>
          </w:tcPr>
          <w:p>
            <w:pPr>
              <w:spacing w:after="0"/>
              <w:rPr>
                <w:sz w:val="16"/>
                <w:szCs w:val="16"/>
                <w:color w:val="auto"/>
              </w:rPr>
            </w:pPr>
          </w:p>
        </w:tc>
        <w:tc>
          <w:tcPr>
            <w:tcW w:w="78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00" w:type="dxa"/>
            <w:vAlign w:val="bottom"/>
            <w:gridSpan w:val="9"/>
            <w:shd w:val="clear" w:color="auto" w:fill="EEEEEE"/>
          </w:tcPr>
          <w:p>
            <w:pPr>
              <w:jc w:val="right"/>
              <w:ind w:right="240"/>
              <w:spacing w:after="0"/>
              <w:rPr>
                <w:sz w:val="20"/>
                <w:szCs w:val="20"/>
                <w:color w:val="auto"/>
              </w:rPr>
            </w:pPr>
            <w:r>
              <w:rPr>
                <w:rFonts w:ascii="Arial" w:cs="Arial" w:eastAsia="Arial" w:hAnsi="Arial"/>
                <w:sz w:val="16"/>
                <w:szCs w:val="16"/>
                <w:color w:val="auto"/>
              </w:rPr>
              <w:t>$(10.0)</w:t>
            </w:r>
          </w:p>
        </w:tc>
        <w:tc>
          <w:tcPr>
            <w:tcW w:w="11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$(0.6)</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$3.3</w:t>
            </w:r>
          </w:p>
        </w:tc>
        <w:tc>
          <w:tcPr>
            <w:tcW w:w="6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6"/>
          </w:tcPr>
          <w:p>
            <w:pPr>
              <w:jc w:val="center"/>
              <w:ind w:right="26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New</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tcPr>
          <w:p>
            <w:pPr>
              <w:jc w:val="right"/>
              <w:ind w:right="340"/>
              <w:spacing w:after="0" w:line="132" w:lineRule="exact"/>
              <w:rPr>
                <w:sz w:val="20"/>
                <w:szCs w:val="20"/>
                <w:color w:val="auto"/>
              </w:rPr>
            </w:pPr>
            <w:r>
              <w:rPr>
                <w:rFonts w:ascii="Arial" w:cs="Arial" w:eastAsia="Arial" w:hAnsi="Arial"/>
                <w:sz w:val="12"/>
                <w:szCs w:val="12"/>
                <w:b w:val="1"/>
                <w:bCs w:val="1"/>
                <w:color w:val="auto"/>
                <w:w w:val="88"/>
              </w:rPr>
              <w:t>Cash</w:t>
            </w:r>
          </w:p>
        </w:tc>
        <w:tc>
          <w:tcPr>
            <w:tcW w:w="300" w:type="dxa"/>
            <w:vAlign w:val="bottom"/>
          </w:tcPr>
          <w:p>
            <w:pPr>
              <w:spacing w:after="0"/>
              <w:rPr>
                <w:sz w:val="11"/>
                <w:szCs w:val="11"/>
                <w:color w:val="auto"/>
              </w:rPr>
            </w:pPr>
          </w:p>
        </w:tc>
        <w:tc>
          <w:tcPr>
            <w:tcW w:w="8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93"/>
              </w:rPr>
              <w:t>Other</w:t>
            </w:r>
          </w:p>
        </w:tc>
        <w:tc>
          <w:tcPr>
            <w:tcW w:w="280" w:type="dxa"/>
            <w:vAlign w:val="bottom"/>
          </w:tcPr>
          <w:p>
            <w:pPr>
              <w:spacing w:after="0"/>
              <w:rPr>
                <w:sz w:val="11"/>
                <w:szCs w:val="11"/>
                <w:color w:val="auto"/>
              </w:rPr>
            </w:pPr>
          </w:p>
        </w:tc>
        <w:tc>
          <w:tcPr>
            <w:tcW w:w="140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5"/>
          </w:tcPr>
          <w:p>
            <w:pPr>
              <w:jc w:val="center"/>
              <w:ind w:left="28"/>
              <w:spacing w:after="0"/>
              <w:rPr>
                <w:sz w:val="20"/>
                <w:szCs w:val="20"/>
                <w:color w:val="auto"/>
              </w:rPr>
            </w:pPr>
            <w:r>
              <w:rPr>
                <w:rFonts w:ascii="Arial" w:cs="Arial" w:eastAsia="Arial" w:hAnsi="Arial"/>
                <w:sz w:val="12"/>
                <w:szCs w:val="12"/>
                <w:b w:val="1"/>
                <w:bCs w:val="1"/>
                <w:color w:val="auto"/>
                <w:w w:val="89"/>
              </w:rPr>
              <w:t>2002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6"/>
          </w:tcPr>
          <w:p>
            <w:pPr>
              <w:ind w:left="180"/>
              <w:spacing w:after="0"/>
              <w:rPr>
                <w:sz w:val="20"/>
                <w:szCs w:val="20"/>
                <w:color w:val="auto"/>
              </w:rPr>
            </w:pPr>
            <w:r>
              <w:rPr>
                <w:rFonts w:ascii="Arial" w:cs="Arial" w:eastAsia="Arial" w:hAnsi="Arial"/>
                <w:sz w:val="12"/>
                <w:szCs w:val="12"/>
                <w:b w:val="1"/>
                <w:bCs w:val="1"/>
                <w:color w:val="auto"/>
              </w:rPr>
              <w:t>Charges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Payments</w:t>
            </w:r>
          </w:p>
        </w:tc>
        <w:tc>
          <w:tcPr>
            <w:tcW w:w="30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Changes</w:t>
            </w:r>
          </w:p>
        </w:tc>
        <w:tc>
          <w:tcPr>
            <w:tcW w:w="1680" w:type="dxa"/>
            <w:vAlign w:val="bottom"/>
            <w:gridSpan w:val="4"/>
          </w:tcPr>
          <w:p>
            <w:pPr>
              <w:jc w:val="center"/>
              <w:ind w:left="207"/>
              <w:spacing w:after="0"/>
              <w:rPr>
                <w:sz w:val="20"/>
                <w:szCs w:val="20"/>
                <w:color w:val="auto"/>
              </w:rPr>
            </w:pPr>
            <w:r>
              <w:rPr>
                <w:rFonts w:ascii="Arial" w:cs="Arial" w:eastAsia="Arial" w:hAnsi="Arial"/>
                <w:sz w:val="12"/>
                <w:szCs w:val="12"/>
                <w:b w:val="1"/>
                <w:bCs w:val="1"/>
                <w:color w:val="auto"/>
                <w:w w:val="89"/>
              </w:rPr>
              <w:t>2003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300" w:type="dxa"/>
            <w:vAlign w:val="bottom"/>
            <w:gridSpan w:val="3"/>
          </w:tcPr>
          <w:p>
            <w:pPr>
              <w:spacing w:after="0"/>
              <w:rPr>
                <w:sz w:val="7"/>
                <w:szCs w:val="7"/>
                <w:color w:val="auto"/>
              </w:rPr>
            </w:pPr>
          </w:p>
        </w:tc>
        <w:tc>
          <w:tcPr>
            <w:tcW w:w="20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400" w:type="dxa"/>
            <w:vAlign w:val="bottom"/>
            <w:gridSpan w:val="3"/>
          </w:tcPr>
          <w:p>
            <w:pPr>
              <w:spacing w:after="0"/>
              <w:rPr>
                <w:sz w:val="7"/>
                <w:szCs w:val="7"/>
                <w:color w:val="auto"/>
              </w:rPr>
            </w:pPr>
          </w:p>
        </w:tc>
        <w:tc>
          <w:tcPr>
            <w:tcW w:w="540" w:type="dxa"/>
            <w:vAlign w:val="bottom"/>
            <w:gridSpan w:val="3"/>
          </w:tcPr>
          <w:p>
            <w:pPr>
              <w:spacing w:after="0"/>
              <w:rPr>
                <w:sz w:val="7"/>
                <w:szCs w:val="7"/>
                <w:color w:val="auto"/>
              </w:rPr>
            </w:pPr>
          </w:p>
        </w:tc>
        <w:tc>
          <w:tcPr>
            <w:tcW w:w="1140" w:type="dxa"/>
            <w:vAlign w:val="bottom"/>
            <w:gridSpan w:val="4"/>
          </w:tcPr>
          <w:p>
            <w:pPr>
              <w:spacing w:after="0"/>
              <w:rPr>
                <w:sz w:val="7"/>
                <w:szCs w:val="7"/>
                <w:color w:val="auto"/>
              </w:rPr>
            </w:pPr>
          </w:p>
        </w:tc>
        <w:tc>
          <w:tcPr>
            <w:tcW w:w="1080" w:type="dxa"/>
            <w:vAlign w:val="bottom"/>
            <w:gridSpan w:val="3"/>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Borders>
              <w:top w:val="single" w:sz="8" w:color="808080"/>
            </w:tcBorders>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6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38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22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20" w:type="dxa"/>
            <w:vAlign w:val="bottom"/>
            <w:tcBorders>
              <w:top w:val="single" w:sz="8" w:color="808080"/>
            </w:tcBorders>
          </w:tcPr>
          <w:p>
            <w:pPr>
              <w:spacing w:after="0"/>
              <w:rPr>
                <w:sz w:val="7"/>
                <w:szCs w:val="7"/>
                <w:color w:val="auto"/>
              </w:rPr>
            </w:pPr>
          </w:p>
        </w:tc>
        <w:tc>
          <w:tcPr>
            <w:tcW w:w="280" w:type="dxa"/>
            <w:vAlign w:val="bottom"/>
            <w:tcBorders>
              <w:top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top w:val="single" w:sz="8" w:color="808080"/>
            </w:tcBorders>
          </w:tcPr>
          <w:p>
            <w:pPr>
              <w:spacing w:after="0"/>
              <w:rPr>
                <w:sz w:val="7"/>
                <w:szCs w:val="7"/>
                <w:color w:val="auto"/>
              </w:rPr>
            </w:pPr>
          </w:p>
        </w:tc>
        <w:tc>
          <w:tcPr>
            <w:tcW w:w="260" w:type="dxa"/>
            <w:vAlign w:val="bottom"/>
            <w:tcBorders>
              <w:top w:val="single" w:sz="8" w:color="808080"/>
            </w:tcBorders>
          </w:tcPr>
          <w:p>
            <w:pPr>
              <w:spacing w:after="0"/>
              <w:rPr>
                <w:sz w:val="7"/>
                <w:szCs w:val="7"/>
                <w:color w:val="auto"/>
              </w:rPr>
            </w:pPr>
          </w:p>
        </w:tc>
        <w:tc>
          <w:tcPr>
            <w:tcW w:w="300" w:type="dxa"/>
            <w:vAlign w:val="bottom"/>
            <w:tcBorders>
              <w:top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200" w:type="dxa"/>
            <w:vAlign w:val="bottom"/>
            <w:tcBorders>
              <w:top w:val="single" w:sz="8" w:color="808080"/>
            </w:tcBorders>
          </w:tcPr>
          <w:p>
            <w:pPr>
              <w:spacing w:after="0"/>
              <w:rPr>
                <w:sz w:val="7"/>
                <w:szCs w:val="7"/>
                <w:color w:val="auto"/>
              </w:rPr>
            </w:pPr>
          </w:p>
        </w:tc>
        <w:tc>
          <w:tcPr>
            <w:tcW w:w="600" w:type="dxa"/>
            <w:vAlign w:val="bottom"/>
            <w:tcBorders>
              <w:top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12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Severance and benefits</w:t>
            </w: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86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EEEEEE"/>
          </w:tcPr>
          <w:p>
            <w:pPr>
              <w:spacing w:after="0"/>
              <w:rPr>
                <w:sz w:val="16"/>
                <w:szCs w:val="16"/>
                <w:color w:val="auto"/>
              </w:rPr>
            </w:pPr>
          </w:p>
        </w:tc>
        <w:tc>
          <w:tcPr>
            <w:tcW w:w="1300" w:type="dxa"/>
            <w:vAlign w:val="bottom"/>
            <w:gridSpan w:val="9"/>
            <w:shd w:val="clear" w:color="auto" w:fill="EEEEEE"/>
          </w:tcPr>
          <w:p>
            <w:pPr>
              <w:jc w:val="right"/>
              <w:ind w:right="240"/>
              <w:spacing w:after="0"/>
              <w:rPr>
                <w:sz w:val="20"/>
                <w:szCs w:val="20"/>
                <w:color w:val="auto"/>
              </w:rPr>
            </w:pPr>
            <w:r>
              <w:rPr>
                <w:rFonts w:ascii="Arial" w:cs="Arial" w:eastAsia="Arial" w:hAnsi="Arial"/>
                <w:sz w:val="16"/>
                <w:szCs w:val="16"/>
                <w:color w:val="auto"/>
              </w:rPr>
              <w:t>$(1.3)</w:t>
            </w:r>
          </w:p>
        </w:tc>
        <w:tc>
          <w:tcPr>
            <w:tcW w:w="11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$(0.3)</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$0.7</w:t>
            </w:r>
          </w:p>
        </w:tc>
        <w:tc>
          <w:tcPr>
            <w:tcW w:w="6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Other exit costs</w:t>
            </w:r>
          </w:p>
        </w:tc>
        <w:tc>
          <w:tcPr>
            <w:tcW w:w="460" w:type="dxa"/>
            <w:vAlign w:val="bottom"/>
            <w:gridSpan w:val="4"/>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9"/>
          </w:tcPr>
          <w:p>
            <w:pPr>
              <w:jc w:val="right"/>
              <w:ind w:right="240"/>
              <w:spacing w:after="0"/>
              <w:rPr>
                <w:sz w:val="20"/>
                <w:szCs w:val="20"/>
                <w:color w:val="auto"/>
              </w:rPr>
            </w:pPr>
            <w:r>
              <w:rPr>
                <w:rFonts w:ascii="Arial" w:cs="Arial" w:eastAsia="Arial" w:hAnsi="Arial"/>
                <w:sz w:val="16"/>
                <w:szCs w:val="16"/>
                <w:color w:val="auto"/>
              </w:rPr>
              <w:t>(0.8)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300" w:type="dxa"/>
            <w:vAlign w:val="bottom"/>
            <w:gridSpan w:val="3"/>
          </w:tcPr>
          <w:p>
            <w:pPr>
              <w:spacing w:after="0"/>
              <w:rPr>
                <w:sz w:val="7"/>
                <w:szCs w:val="7"/>
                <w:color w:val="auto"/>
              </w:rPr>
            </w:pPr>
          </w:p>
        </w:tc>
        <w:tc>
          <w:tcPr>
            <w:tcW w:w="20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400" w:type="dxa"/>
            <w:vAlign w:val="bottom"/>
            <w:gridSpan w:val="3"/>
          </w:tcPr>
          <w:p>
            <w:pPr>
              <w:spacing w:after="0"/>
              <w:rPr>
                <w:sz w:val="7"/>
                <w:szCs w:val="7"/>
                <w:color w:val="auto"/>
              </w:rPr>
            </w:pPr>
          </w:p>
        </w:tc>
        <w:tc>
          <w:tcPr>
            <w:tcW w:w="540" w:type="dxa"/>
            <w:vAlign w:val="bottom"/>
            <w:gridSpan w:val="3"/>
          </w:tcPr>
          <w:p>
            <w:pPr>
              <w:spacing w:after="0"/>
              <w:rPr>
                <w:sz w:val="7"/>
                <w:szCs w:val="7"/>
                <w:color w:val="auto"/>
              </w:rPr>
            </w:pPr>
          </w:p>
        </w:tc>
        <w:tc>
          <w:tcPr>
            <w:tcW w:w="1140" w:type="dxa"/>
            <w:vAlign w:val="bottom"/>
            <w:gridSpan w:val="4"/>
          </w:tcPr>
          <w:p>
            <w:pPr>
              <w:spacing w:after="0"/>
              <w:rPr>
                <w:sz w:val="7"/>
                <w:szCs w:val="7"/>
                <w:color w:val="auto"/>
              </w:rPr>
            </w:pPr>
          </w:p>
        </w:tc>
        <w:tc>
          <w:tcPr>
            <w:tcW w:w="1080" w:type="dxa"/>
            <w:vAlign w:val="bottom"/>
            <w:gridSpan w:val="3"/>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808080"/>
            </w:tcBorders>
          </w:tcPr>
          <w:p>
            <w:pPr>
              <w:spacing w:after="0"/>
              <w:rPr>
                <w:sz w:val="7"/>
                <w:szCs w:val="7"/>
                <w:color w:val="auto"/>
              </w:rPr>
            </w:pPr>
          </w:p>
        </w:tc>
        <w:tc>
          <w:tcPr>
            <w:tcW w:w="6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808080"/>
            </w:tcBorders>
          </w:tcPr>
          <w:p>
            <w:pPr>
              <w:spacing w:after="0"/>
              <w:rPr>
                <w:sz w:val="7"/>
                <w:szCs w:val="7"/>
                <w:color w:val="auto"/>
              </w:rPr>
            </w:pPr>
          </w:p>
        </w:tc>
        <w:tc>
          <w:tcPr>
            <w:tcW w:w="80" w:type="dxa"/>
            <w:vAlign w:val="bottom"/>
            <w:tcBorders>
              <w:top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top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Borders>
              <w:top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460" w:type="dxa"/>
            <w:vAlign w:val="bottom"/>
            <w:gridSpan w:val="4"/>
            <w:shd w:val="clear" w:color="auto" w:fill="EEEEEE"/>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860" w:type="dxa"/>
            <w:vAlign w:val="bottom"/>
            <w:gridSpan w:val="8"/>
            <w:shd w:val="clear" w:color="auto" w:fill="EEEEEE"/>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EEEEEE"/>
          </w:tcPr>
          <w:p>
            <w:pPr>
              <w:spacing w:after="0"/>
              <w:rPr>
                <w:sz w:val="16"/>
                <w:szCs w:val="16"/>
                <w:color w:val="auto"/>
              </w:rPr>
            </w:pPr>
          </w:p>
        </w:tc>
        <w:tc>
          <w:tcPr>
            <w:tcW w:w="1300" w:type="dxa"/>
            <w:vAlign w:val="bottom"/>
            <w:gridSpan w:val="9"/>
            <w:shd w:val="clear" w:color="auto" w:fill="EEEEEE"/>
          </w:tcPr>
          <w:p>
            <w:pPr>
              <w:jc w:val="right"/>
              <w:ind w:right="240"/>
              <w:spacing w:after="0"/>
              <w:rPr>
                <w:sz w:val="20"/>
                <w:szCs w:val="20"/>
                <w:color w:val="auto"/>
              </w:rPr>
            </w:pPr>
            <w:r>
              <w:rPr>
                <w:rFonts w:ascii="Arial" w:cs="Arial" w:eastAsia="Arial" w:hAnsi="Arial"/>
                <w:sz w:val="16"/>
                <w:szCs w:val="16"/>
                <w:color w:val="auto"/>
              </w:rPr>
              <w:t>$(2.1)</w:t>
            </w:r>
          </w:p>
        </w:tc>
        <w:tc>
          <w:tcPr>
            <w:tcW w:w="11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$(0.3)</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$1.2</w:t>
            </w:r>
          </w:p>
        </w:tc>
        <w:tc>
          <w:tcPr>
            <w:tcW w:w="6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-1178560</wp:posOffset>
            </wp:positionV>
            <wp:extent cx="1270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3220720</wp:posOffset>
            </wp:positionH>
            <wp:positionV relativeFrom="paragraph">
              <wp:posOffset>-1178560</wp:posOffset>
            </wp:positionV>
            <wp:extent cx="12700"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-1178560</wp:posOffset>
            </wp:positionV>
            <wp:extent cx="1270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-1178560</wp:posOffset>
            </wp:positionV>
            <wp:extent cx="12700"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-1178560</wp:posOffset>
            </wp:positionV>
            <wp:extent cx="1270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-1178560</wp:posOffset>
            </wp:positionV>
            <wp:extent cx="12700"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-1178560</wp:posOffset>
            </wp:positionV>
            <wp:extent cx="12700"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-1178560</wp:posOffset>
            </wp:positionV>
            <wp:extent cx="12700"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-1178560</wp:posOffset>
            </wp:positionV>
            <wp:extent cx="1270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-1178560</wp:posOffset>
            </wp:positionV>
            <wp:extent cx="12700"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-34925</wp:posOffset>
            </wp:positionV>
            <wp:extent cx="1270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-34925</wp:posOffset>
            </wp:positionV>
            <wp:extent cx="12700"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-34925</wp:posOffset>
            </wp:positionV>
            <wp:extent cx="1270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-34925</wp:posOffset>
            </wp:positionV>
            <wp:extent cx="1270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-34925</wp:posOffset>
            </wp:positionV>
            <wp:extent cx="1270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4758055</wp:posOffset>
            </wp:positionH>
            <wp:positionV relativeFrom="paragraph">
              <wp:posOffset>-34925</wp:posOffset>
            </wp:positionV>
            <wp:extent cx="1270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-34925</wp:posOffset>
            </wp:positionV>
            <wp:extent cx="1270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-34925</wp:posOffset>
            </wp:positionV>
            <wp:extent cx="12700"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-34925</wp:posOffset>
            </wp:positionV>
            <wp:extent cx="1270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-34925</wp:posOffset>
            </wp:positionV>
            <wp:extent cx="1270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firstLine="286"/>
        <w:spacing w:after="0" w:line="264" w:lineRule="auto"/>
        <w:rPr>
          <w:sz w:val="20"/>
          <w:szCs w:val="20"/>
          <w:color w:val="auto"/>
        </w:rPr>
      </w:pPr>
      <w:r>
        <w:rPr>
          <w:rFonts w:ascii="Arial" w:cs="Arial" w:eastAsia="Arial" w:hAnsi="Arial"/>
          <w:sz w:val="16"/>
          <w:szCs w:val="16"/>
          <w:color w:val="auto"/>
        </w:rPr>
        <w:t>The original severance and benefits charge of $6.0 million primarily related to the termination of 250 hourly and 46 salaried employees in Canada. The $3.4 million of new charges represents the 2002 termination of 64 European Refrigeration, 49 Heat Transfer and other Australian personnel. The “Other exit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320"/>
        <w:spacing w:after="0" w:line="310" w:lineRule="auto"/>
        <w:rPr>
          <w:sz w:val="20"/>
          <w:szCs w:val="20"/>
          <w:color w:val="auto"/>
        </w:rPr>
      </w:pPr>
      <w:r>
        <w:rPr>
          <w:rFonts w:ascii="Arial" w:cs="Arial" w:eastAsia="Arial" w:hAnsi="Arial"/>
          <w:sz w:val="14"/>
          <w:szCs w:val="14"/>
          <w:color w:val="auto"/>
        </w:rPr>
        <w:t>costs” consist of $2.5 million for contractual lease obligations associated with the vacated corporate office lease space and the closed Australian manufacturing facility. Included in Restructurings in the accompanying Consolidated Statements of Operations for the year ended December 31, 2002 are $0.7 million of restructuring income associated with the subleasing of the vacated corporate office lease space. The cash obligations associated with these exit costs continue through 2004.</w:t>
      </w:r>
    </w:p>
    <w:p>
      <w:pPr>
        <w:spacing w:after="0" w:line="163" w:lineRule="exact"/>
        <w:rPr>
          <w:sz w:val="20"/>
          <w:szCs w:val="20"/>
          <w:color w:val="auto"/>
        </w:rPr>
      </w:pPr>
    </w:p>
    <w:p>
      <w:pPr>
        <w:ind w:firstLine="286"/>
        <w:spacing w:after="0" w:line="297" w:lineRule="auto"/>
        <w:rPr>
          <w:sz w:val="20"/>
          <w:szCs w:val="20"/>
          <w:color w:val="auto"/>
        </w:rPr>
      </w:pPr>
      <w:r>
        <w:rPr>
          <w:rFonts w:ascii="Arial" w:cs="Arial" w:eastAsia="Arial" w:hAnsi="Arial"/>
          <w:sz w:val="14"/>
          <w:szCs w:val="14"/>
          <w:i w:val="1"/>
          <w:iCs w:val="1"/>
          <w:color w:val="auto"/>
        </w:rPr>
        <w:t xml:space="preserve">Engineering Business Restructuring Program. </w:t>
      </w:r>
      <w:r>
        <w:rPr>
          <w:rFonts w:ascii="Arial" w:cs="Arial" w:eastAsia="Arial" w:hAnsi="Arial"/>
          <w:sz w:val="14"/>
          <w:szCs w:val="14"/>
          <w:color w:val="auto"/>
        </w:rPr>
        <w:t>In the third quarter of 2002, the Company recorded a pre-tax restructuring charge totaling $7.5 million ($5.2 million, net of tax)</w:t>
      </w:r>
      <w:r>
        <w:rPr>
          <w:rFonts w:ascii="Arial" w:cs="Arial" w:eastAsia="Arial" w:hAnsi="Arial"/>
          <w:sz w:val="14"/>
          <w:szCs w:val="14"/>
          <w:i w:val="1"/>
          <w:iCs w:val="1"/>
          <w:color w:val="auto"/>
        </w:rPr>
        <w:t xml:space="preserve"> </w:t>
      </w:r>
      <w:r>
        <w:rPr>
          <w:rFonts w:ascii="Arial" w:cs="Arial" w:eastAsia="Arial" w:hAnsi="Arial"/>
          <w:sz w:val="14"/>
          <w:szCs w:val="14"/>
          <w:color w:val="auto"/>
        </w:rPr>
        <w:t>consisting of $1.0 million of inventory impairments included in cost of goods sold, severance and other exit costs that resulted from the Company’s decision to abandon the residual portion of the Heat Transfer business that does not fit with the Company’s strategic focus and was not included in the joint venture with Outokumpu. The revenue and net operating loss associated with the engineering business was $9.8 million and $6.9 million, respectively, for the year ended December 31, 2002. The Company completed the wind-down period of this business and recorded an additional operating loss of $1.8 million in 2003. Operating losses from this business are reported in the “Corporate and other” business segment.</w:t>
      </w:r>
    </w:p>
    <w:p>
      <w:pPr>
        <w:spacing w:after="0" w:line="173" w:lineRule="exact"/>
        <w:rPr>
          <w:sz w:val="20"/>
          <w:szCs w:val="20"/>
          <w:color w:val="auto"/>
        </w:rPr>
      </w:pPr>
    </w:p>
    <w:p>
      <w:pPr>
        <w:ind w:right="60" w:firstLine="286"/>
        <w:spacing w:after="0" w:line="264" w:lineRule="auto"/>
        <w:rPr>
          <w:sz w:val="20"/>
          <w:szCs w:val="20"/>
          <w:color w:val="auto"/>
        </w:rPr>
      </w:pPr>
      <w:r>
        <w:rPr>
          <w:rFonts w:ascii="Arial" w:cs="Arial" w:eastAsia="Arial" w:hAnsi="Arial"/>
          <w:sz w:val="16"/>
          <w:szCs w:val="16"/>
          <w:color w:val="auto"/>
        </w:rPr>
        <w:t>A summary of the severance and other exit costs, recorded in the quarter ended September 30, 2002, associated with the Engineering Business Restructuring Program are included in the following table (in millions):</w:t>
      </w:r>
    </w:p>
    <w:p>
      <w:pPr>
        <w:spacing w:after="0" w:line="348"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tcPr>
          <w:p>
            <w:pPr>
              <w:jc w:val="center"/>
              <w:ind w:right="80"/>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5"/>
          </w:tcPr>
          <w:p>
            <w:pPr>
              <w:jc w:val="center"/>
              <w:spacing w:after="0" w:line="132" w:lineRule="exact"/>
              <w:rPr>
                <w:sz w:val="20"/>
                <w:szCs w:val="20"/>
                <w:color w:val="auto"/>
              </w:rPr>
            </w:pPr>
            <w:r>
              <w:rPr>
                <w:rFonts w:ascii="Arial" w:cs="Arial" w:eastAsia="Arial" w:hAnsi="Arial"/>
                <w:sz w:val="12"/>
                <w:szCs w:val="12"/>
                <w:b w:val="1"/>
                <w:bCs w:val="1"/>
                <w:color w:val="auto"/>
                <w:w w:val="96"/>
              </w:rPr>
              <w:t>Original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New</w:t>
            </w:r>
          </w:p>
        </w:tc>
        <w:tc>
          <w:tcPr>
            <w:tcW w:w="160" w:type="dxa"/>
            <w:vAlign w:val="bottom"/>
          </w:tcPr>
          <w:p>
            <w:pPr>
              <w:spacing w:after="0"/>
              <w:rPr>
                <w:sz w:val="11"/>
                <w:szCs w:val="11"/>
                <w:color w:val="auto"/>
              </w:rPr>
            </w:pPr>
          </w:p>
        </w:tc>
        <w:tc>
          <w:tcPr>
            <w:tcW w:w="800" w:type="dxa"/>
            <w:vAlign w:val="bottom"/>
            <w:gridSpan w:val="6"/>
          </w:tcPr>
          <w:p>
            <w:pPr>
              <w:jc w:val="right"/>
              <w:ind w:right="340"/>
              <w:spacing w:after="0" w:line="132" w:lineRule="exact"/>
              <w:rPr>
                <w:sz w:val="20"/>
                <w:szCs w:val="20"/>
                <w:color w:val="auto"/>
              </w:rPr>
            </w:pPr>
            <w:r>
              <w:rPr>
                <w:rFonts w:ascii="Arial" w:cs="Arial" w:eastAsia="Arial" w:hAnsi="Arial"/>
                <w:sz w:val="12"/>
                <w:szCs w:val="12"/>
                <w:b w:val="1"/>
                <w:bCs w:val="1"/>
                <w:color w:val="auto"/>
              </w:rPr>
              <w:t>Cash</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6"/>
          </w:tcPr>
          <w:p>
            <w:pPr>
              <w:jc w:val="center"/>
              <w:ind w:right="160"/>
              <w:spacing w:after="0" w:line="132"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jc w:val="center"/>
              <w:ind w:right="80"/>
              <w:spacing w:after="0" w:line="132"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1"/>
              </w:rPr>
              <w:t>Charge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8"/>
          </w:tcPr>
          <w:p>
            <w:pPr>
              <w:ind w:left="140"/>
              <w:spacing w:after="0"/>
              <w:rPr>
                <w:sz w:val="20"/>
                <w:szCs w:val="20"/>
                <w:color w:val="auto"/>
              </w:rPr>
            </w:pPr>
            <w:r>
              <w:rPr>
                <w:rFonts w:ascii="Arial" w:cs="Arial" w:eastAsia="Arial" w:hAnsi="Arial"/>
                <w:sz w:val="12"/>
                <w:szCs w:val="12"/>
                <w:b w:val="1"/>
                <w:bCs w:val="1"/>
                <w:color w:val="auto"/>
              </w:rPr>
              <w:t>Charges</w:t>
            </w:r>
          </w:p>
        </w:tc>
        <w:tc>
          <w:tcPr>
            <w:tcW w:w="160" w:type="dxa"/>
            <w:vAlign w:val="bottom"/>
          </w:tcPr>
          <w:p>
            <w:pPr>
              <w:spacing w:after="0"/>
              <w:rPr>
                <w:sz w:val="13"/>
                <w:szCs w:val="13"/>
                <w:color w:val="auto"/>
              </w:rPr>
            </w:pPr>
          </w:p>
        </w:tc>
        <w:tc>
          <w:tcPr>
            <w:tcW w:w="80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98"/>
              </w:rPr>
              <w:t>Payments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86"/>
              </w:rPr>
              <w:t>Changes</w:t>
            </w:r>
          </w:p>
        </w:tc>
        <w:tc>
          <w:tcPr>
            <w:tcW w:w="1180" w:type="dxa"/>
            <w:vAlign w:val="bottom"/>
            <w:gridSpan w:val="7"/>
          </w:tcPr>
          <w:p>
            <w:pPr>
              <w:jc w:val="center"/>
              <w:ind w:left="748"/>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Severance and benefits</w:t>
            </w: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620" w:type="dxa"/>
            <w:vAlign w:val="bottom"/>
            <w:gridSpan w:val="5"/>
            <w:shd w:val="clear" w:color="auto" w:fill="EEEEEE"/>
          </w:tcPr>
          <w:p>
            <w:pPr>
              <w:ind w:left="400"/>
              <w:spacing w:after="0"/>
              <w:rPr>
                <w:sz w:val="20"/>
                <w:szCs w:val="20"/>
                <w:color w:val="auto"/>
              </w:rPr>
            </w:pPr>
            <w:r>
              <w:rPr>
                <w:rFonts w:ascii="Arial" w:cs="Arial" w:eastAsia="Arial" w:hAnsi="Arial"/>
                <w:sz w:val="16"/>
                <w:szCs w:val="16"/>
                <w:color w:val="auto"/>
              </w:rPr>
              <w:t>$</w:t>
            </w:r>
          </w:p>
        </w:tc>
        <w:tc>
          <w:tcPr>
            <w:tcW w:w="64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w:t>
            </w:r>
          </w:p>
        </w:tc>
        <w:tc>
          <w:tcPr>
            <w:tcW w:w="820" w:type="dxa"/>
            <w:vAlign w:val="bottom"/>
            <w:gridSpan w:val="6"/>
            <w:shd w:val="clear" w:color="auto" w:fill="EEEEEE"/>
          </w:tcPr>
          <w:p>
            <w:pPr>
              <w:jc w:val="right"/>
              <w:ind w:right="10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EEEEEE"/>
          </w:tcPr>
          <w:p>
            <w:pPr>
              <w:spacing w:after="0"/>
              <w:rPr>
                <w:sz w:val="16"/>
                <w:szCs w:val="16"/>
                <w:color w:val="auto"/>
              </w:rPr>
            </w:pPr>
          </w:p>
        </w:tc>
        <w:tc>
          <w:tcPr>
            <w:tcW w:w="78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0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Other exit costs</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5"/>
          </w:tcPr>
          <w:p>
            <w:pPr>
              <w:spacing w:after="0"/>
              <w:rPr>
                <w:sz w:val="20"/>
                <w:szCs w:val="20"/>
                <w:color w:val="auto"/>
              </w:rPr>
            </w:pPr>
            <w:r>
              <w:rPr>
                <w:rFonts w:ascii="Arial" w:cs="Arial" w:eastAsia="Arial" w:hAnsi="Arial"/>
                <w:sz w:val="16"/>
                <w:szCs w:val="16"/>
                <w:color w:val="auto"/>
              </w:rPr>
              <w:t>—</w:t>
            </w:r>
          </w:p>
        </w:tc>
        <w:tc>
          <w:tcPr>
            <w:tcW w:w="820" w:type="dxa"/>
            <w:vAlign w:val="bottom"/>
            <w:gridSpan w:val="6"/>
          </w:tcPr>
          <w:p>
            <w:pPr>
              <w:jc w:val="right"/>
              <w:ind w:right="100"/>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7"/>
                <w:szCs w:val="17"/>
                <w:color w:val="auto"/>
              </w:rPr>
            </w:pPr>
          </w:p>
        </w:tc>
        <w:tc>
          <w:tcPr>
            <w:tcW w:w="780" w:type="dxa"/>
            <w:vAlign w:val="bottom"/>
            <w:gridSpan w:val="6"/>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6"/>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620" w:type="dxa"/>
            <w:vAlign w:val="bottom"/>
            <w:gridSpan w:val="5"/>
            <w:shd w:val="clear" w:color="auto" w:fill="EEEEEE"/>
          </w:tcPr>
          <w:p>
            <w:pPr>
              <w:ind w:left="400"/>
              <w:spacing w:after="0"/>
              <w:rPr>
                <w:sz w:val="20"/>
                <w:szCs w:val="20"/>
                <w:color w:val="auto"/>
              </w:rPr>
            </w:pPr>
            <w:r>
              <w:rPr>
                <w:rFonts w:ascii="Arial" w:cs="Arial" w:eastAsia="Arial" w:hAnsi="Arial"/>
                <w:sz w:val="16"/>
                <w:szCs w:val="16"/>
                <w:color w:val="auto"/>
              </w:rPr>
              <w:t>$</w:t>
            </w:r>
          </w:p>
        </w:tc>
        <w:tc>
          <w:tcPr>
            <w:tcW w:w="64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w:t>
            </w:r>
          </w:p>
        </w:tc>
        <w:tc>
          <w:tcPr>
            <w:tcW w:w="820" w:type="dxa"/>
            <w:vAlign w:val="bottom"/>
            <w:gridSpan w:val="6"/>
            <w:shd w:val="clear" w:color="auto" w:fill="EEEEEE"/>
          </w:tcPr>
          <w:p>
            <w:pPr>
              <w:jc w:val="right"/>
              <w:ind w:right="100"/>
              <w:spacing w:after="0"/>
              <w:rPr>
                <w:sz w:val="20"/>
                <w:szCs w:val="20"/>
                <w:color w:val="auto"/>
              </w:rPr>
            </w:pPr>
            <w:r>
              <w:rPr>
                <w:rFonts w:ascii="Arial" w:cs="Arial" w:eastAsia="Arial" w:hAnsi="Arial"/>
                <w:sz w:val="16"/>
                <w:szCs w:val="16"/>
                <w:color w:val="auto"/>
              </w:rPr>
              <w:t>$(4.0)</w:t>
            </w:r>
          </w:p>
        </w:tc>
        <w:tc>
          <w:tcPr>
            <w:tcW w:w="140" w:type="dxa"/>
            <w:vAlign w:val="bottom"/>
            <w:shd w:val="clear" w:color="auto" w:fill="EEEEEE"/>
          </w:tcPr>
          <w:p>
            <w:pPr>
              <w:spacing w:after="0"/>
              <w:rPr>
                <w:sz w:val="16"/>
                <w:szCs w:val="16"/>
                <w:color w:val="auto"/>
              </w:rPr>
            </w:pPr>
          </w:p>
        </w:tc>
        <w:tc>
          <w:tcPr>
            <w:tcW w:w="78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0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86"/>
              </w:rPr>
              <w:t>Balance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6"/>
          </w:tcPr>
          <w:p>
            <w:pPr>
              <w:jc w:val="center"/>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7"/>
              </w:rPr>
              <w:t>December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New</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4"/>
          </w:tcPr>
          <w:p>
            <w:pPr>
              <w:jc w:val="right"/>
              <w:ind w:right="200"/>
              <w:spacing w:after="0" w:line="132" w:lineRule="exact"/>
              <w:rPr>
                <w:sz w:val="20"/>
                <w:szCs w:val="20"/>
                <w:color w:val="auto"/>
              </w:rPr>
            </w:pPr>
            <w:r>
              <w:rPr>
                <w:rFonts w:ascii="Arial" w:cs="Arial" w:eastAsia="Arial" w:hAnsi="Arial"/>
                <w:sz w:val="12"/>
                <w:szCs w:val="12"/>
                <w:b w:val="1"/>
                <w:bCs w:val="1"/>
                <w:color w:val="auto"/>
              </w:rPr>
              <w:t>Cash</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4"/>
          </w:tcPr>
          <w:p>
            <w:pPr>
              <w:jc w:val="right"/>
              <w:ind w:right="120"/>
              <w:spacing w:after="0" w:line="132" w:lineRule="exact"/>
              <w:rPr>
                <w:sz w:val="20"/>
                <w:szCs w:val="20"/>
                <w:color w:val="auto"/>
              </w:rPr>
            </w:pPr>
            <w:r>
              <w:rPr>
                <w:rFonts w:ascii="Arial" w:cs="Arial" w:eastAsia="Arial" w:hAnsi="Arial"/>
                <w:sz w:val="12"/>
                <w:szCs w:val="12"/>
                <w:b w:val="1"/>
                <w:bCs w:val="1"/>
                <w:color w:val="auto"/>
                <w:w w:val="87"/>
              </w:rPr>
              <w:t>Other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jc w:val="center"/>
              <w:spacing w:after="0" w:line="132" w:lineRule="exact"/>
              <w:rPr>
                <w:sz w:val="20"/>
                <w:szCs w:val="20"/>
                <w:color w:val="auto"/>
              </w:rPr>
            </w:pPr>
            <w:r>
              <w:rPr>
                <w:rFonts w:ascii="Arial" w:cs="Arial" w:eastAsia="Arial" w:hAnsi="Arial"/>
                <w:sz w:val="12"/>
                <w:szCs w:val="12"/>
                <w:b w:val="1"/>
                <w:bCs w:val="1"/>
                <w:color w:val="auto"/>
                <w:w w:val="87"/>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ind w:left="80"/>
              <w:spacing w:after="0"/>
              <w:rPr>
                <w:sz w:val="20"/>
                <w:szCs w:val="20"/>
                <w:color w:val="auto"/>
              </w:rPr>
            </w:pPr>
            <w:r>
              <w:rPr>
                <w:rFonts w:ascii="Arial" w:cs="Arial" w:eastAsia="Arial" w:hAnsi="Arial"/>
                <w:sz w:val="12"/>
                <w:szCs w:val="12"/>
                <w:b w:val="1"/>
                <w:bCs w:val="1"/>
                <w:color w:val="auto"/>
              </w:rPr>
              <w:t>Charges</w:t>
            </w:r>
          </w:p>
        </w:tc>
        <w:tc>
          <w:tcPr>
            <w:tcW w:w="160" w:type="dxa"/>
            <w:vAlign w:val="bottom"/>
          </w:tcPr>
          <w:p>
            <w:pPr>
              <w:spacing w:after="0"/>
              <w:rPr>
                <w:sz w:val="13"/>
                <w:szCs w:val="13"/>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2"/>
                <w:szCs w:val="12"/>
                <w:b w:val="1"/>
                <w:bCs w:val="1"/>
                <w:color w:val="auto"/>
              </w:rPr>
              <w:t>Payments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5"/>
          </w:tcPr>
          <w:p>
            <w:pPr>
              <w:spacing w:after="0"/>
              <w:rPr>
                <w:sz w:val="20"/>
                <w:szCs w:val="20"/>
                <w:color w:val="auto"/>
              </w:rPr>
            </w:pPr>
            <w:r>
              <w:rPr>
                <w:rFonts w:ascii="Arial" w:cs="Arial" w:eastAsia="Arial" w:hAnsi="Arial"/>
                <w:sz w:val="12"/>
                <w:szCs w:val="12"/>
                <w:b w:val="1"/>
                <w:bCs w:val="1"/>
                <w:color w:val="auto"/>
                <w:w w:val="94"/>
              </w:rPr>
              <w:t>Changes</w:t>
            </w:r>
          </w:p>
        </w:tc>
        <w:tc>
          <w:tcPr>
            <w:tcW w:w="1180" w:type="dxa"/>
            <w:vAlign w:val="bottom"/>
            <w:gridSpan w:val="7"/>
          </w:tcPr>
          <w:p>
            <w:pPr>
              <w:jc w:val="center"/>
              <w:ind w:left="828"/>
              <w:spacing w:after="0"/>
              <w:rPr>
                <w:sz w:val="20"/>
                <w:szCs w:val="20"/>
                <w:color w:val="auto"/>
              </w:rPr>
            </w:pPr>
            <w:r>
              <w:rPr>
                <w:rFonts w:ascii="Arial" w:cs="Arial" w:eastAsia="Arial" w:hAnsi="Arial"/>
                <w:sz w:val="12"/>
                <w:szCs w:val="12"/>
                <w:b w:val="1"/>
                <w:bCs w:val="1"/>
                <w:color w:val="auto"/>
                <w:w w:val="89"/>
              </w:rPr>
              <w:t>2003</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80" w:type="dxa"/>
            <w:vAlign w:val="bottom"/>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300" w:type="dxa"/>
            <w:vAlign w:val="bottom"/>
            <w:tcBorders>
              <w:bottom w:val="single" w:sz="8" w:color="808080"/>
            </w:tcBorders>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bottom w:val="single" w:sz="8" w:color="808080"/>
            </w:tcBorders>
            <w:gridSpan w:val="3"/>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2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Severance and benefits</w:t>
            </w: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380" w:type="dxa"/>
            <w:vAlign w:val="bottom"/>
            <w:shd w:val="clear" w:color="auto" w:fill="EEEEEE"/>
          </w:tcPr>
          <w:p>
            <w:pPr>
              <w:spacing w:after="0"/>
              <w:rPr>
                <w:sz w:val="16"/>
                <w:szCs w:val="16"/>
                <w:color w:val="auto"/>
              </w:rPr>
            </w:pPr>
          </w:p>
        </w:tc>
        <w:tc>
          <w:tcPr>
            <w:tcW w:w="620" w:type="dxa"/>
            <w:vAlign w:val="bottom"/>
            <w:gridSpan w:val="5"/>
            <w:shd w:val="clear" w:color="auto" w:fill="EEEEEE"/>
          </w:tcPr>
          <w:p>
            <w:pPr>
              <w:ind w:left="540"/>
              <w:spacing w:after="0"/>
              <w:rPr>
                <w:sz w:val="20"/>
                <w:szCs w:val="20"/>
                <w:color w:val="auto"/>
              </w:rPr>
            </w:pPr>
            <w:r>
              <w:rPr>
                <w:rFonts w:ascii="Arial" w:cs="Arial" w:eastAsia="Arial" w:hAnsi="Arial"/>
                <w:sz w:val="14"/>
                <w:szCs w:val="14"/>
                <w:color w:val="auto"/>
                <w:w w:val="76"/>
              </w:rPr>
              <w:t>$</w:t>
            </w:r>
          </w:p>
        </w:tc>
        <w:tc>
          <w:tcPr>
            <w:tcW w:w="640" w:type="dxa"/>
            <w:vAlign w:val="bottom"/>
            <w:gridSpan w:val="5"/>
            <w:shd w:val="clear" w:color="auto" w:fill="EEEEEE"/>
          </w:tcPr>
          <w:p>
            <w:pPr>
              <w:ind w:left="140"/>
              <w:spacing w:after="0"/>
              <w:rPr>
                <w:sz w:val="20"/>
                <w:szCs w:val="20"/>
                <w:color w:val="auto"/>
              </w:rPr>
            </w:pPr>
            <w:r>
              <w:rPr>
                <w:rFonts w:ascii="Arial" w:cs="Arial" w:eastAsia="Arial" w:hAnsi="Arial"/>
                <w:sz w:val="16"/>
                <w:szCs w:val="16"/>
                <w:color w:val="auto"/>
              </w:rPr>
              <w:t>—</w:t>
            </w:r>
          </w:p>
        </w:tc>
        <w:tc>
          <w:tcPr>
            <w:tcW w:w="960" w:type="dxa"/>
            <w:vAlign w:val="bottom"/>
            <w:gridSpan w:val="7"/>
            <w:shd w:val="clear" w:color="auto" w:fill="EEEEEE"/>
          </w:tcPr>
          <w:p>
            <w:pPr>
              <w:jc w:val="right"/>
              <w:ind w:right="100"/>
              <w:spacing w:after="0"/>
              <w:rPr>
                <w:sz w:val="20"/>
                <w:szCs w:val="20"/>
                <w:color w:val="auto"/>
              </w:rPr>
            </w:pPr>
            <w:r>
              <w:rPr>
                <w:rFonts w:ascii="Arial" w:cs="Arial" w:eastAsia="Arial" w:hAnsi="Arial"/>
                <w:sz w:val="16"/>
                <w:szCs w:val="16"/>
                <w:color w:val="auto"/>
              </w:rPr>
              <w:t>$(0.9)</w:t>
            </w:r>
          </w:p>
        </w:tc>
        <w:tc>
          <w:tcPr>
            <w:tcW w:w="660" w:type="dxa"/>
            <w:vAlign w:val="bottom"/>
            <w:gridSpan w:val="5"/>
            <w:shd w:val="clear" w:color="auto" w:fill="EEEEEE"/>
          </w:tcPr>
          <w:p>
            <w:pPr>
              <w:ind w:left="58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520" w:type="dxa"/>
            <w:vAlign w:val="bottom"/>
            <w:shd w:val="clear" w:color="auto" w:fill="EEEEEE"/>
          </w:tcPr>
          <w:p>
            <w:pPr>
              <w:spacing w:after="0"/>
              <w:rPr>
                <w:sz w:val="16"/>
                <w:szCs w:val="16"/>
                <w:color w:val="auto"/>
              </w:rPr>
            </w:pPr>
          </w:p>
        </w:tc>
        <w:tc>
          <w:tcPr>
            <w:tcW w:w="800" w:type="dxa"/>
            <w:vAlign w:val="bottom"/>
            <w:gridSpan w:val="5"/>
            <w:shd w:val="clear" w:color="auto" w:fill="EEEEEE"/>
          </w:tcPr>
          <w:p>
            <w:pPr>
              <w:jc w:val="right"/>
              <w:ind w:right="520"/>
              <w:spacing w:after="0"/>
              <w:rPr>
                <w:sz w:val="20"/>
                <w:szCs w:val="20"/>
                <w:color w:val="auto"/>
              </w:rPr>
            </w:pPr>
            <w:r>
              <w:rPr>
                <w:rFonts w:ascii="Arial" w:cs="Arial" w:eastAsia="Arial" w:hAnsi="Arial"/>
                <w:sz w:val="16"/>
                <w:szCs w:val="16"/>
                <w:color w:val="auto"/>
                <w:w w:val="88"/>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Other exit costs</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5"/>
          </w:tcPr>
          <w:p>
            <w:pPr>
              <w:ind w:left="140"/>
              <w:spacing w:after="0"/>
              <w:rPr>
                <w:sz w:val="20"/>
                <w:szCs w:val="20"/>
                <w:color w:val="auto"/>
              </w:rPr>
            </w:pPr>
            <w:r>
              <w:rPr>
                <w:rFonts w:ascii="Arial" w:cs="Arial" w:eastAsia="Arial" w:hAnsi="Arial"/>
                <w:sz w:val="16"/>
                <w:szCs w:val="16"/>
                <w:color w:val="auto"/>
              </w:rPr>
              <w:t>—</w:t>
            </w:r>
          </w:p>
        </w:tc>
        <w:tc>
          <w:tcPr>
            <w:tcW w:w="960" w:type="dxa"/>
            <w:vAlign w:val="bottom"/>
            <w:gridSpan w:val="7"/>
          </w:tcPr>
          <w:p>
            <w:pPr>
              <w:jc w:val="right"/>
              <w:ind w:right="10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1200" w:type="dxa"/>
            <w:vAlign w:val="bottom"/>
            <w:gridSpan w:val="8"/>
          </w:tcPr>
          <w:p>
            <w:pPr>
              <w:jc w:val="right"/>
              <w:ind w:right="20"/>
              <w:spacing w:after="0"/>
              <w:rPr>
                <w:sz w:val="20"/>
                <w:szCs w:val="20"/>
                <w:color w:val="auto"/>
              </w:rPr>
            </w:pPr>
            <w:r>
              <w:rPr>
                <w:rFonts w:ascii="Arial" w:cs="Arial" w:eastAsia="Arial" w:hAnsi="Arial"/>
                <w:sz w:val="16"/>
                <w:szCs w:val="16"/>
                <w:color w:val="auto"/>
              </w:rPr>
              <w:t>0.3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gridSpan w:val="2"/>
          </w:tcPr>
          <w:p>
            <w:pPr>
              <w:spacing w:after="0"/>
              <w:rPr>
                <w:sz w:val="7"/>
                <w:szCs w:val="7"/>
                <w:color w:val="auto"/>
              </w:rPr>
            </w:pPr>
          </w:p>
        </w:tc>
        <w:tc>
          <w:tcPr>
            <w:tcW w:w="200" w:type="dxa"/>
            <w:vAlign w:val="bottom"/>
            <w:gridSpan w:val="2"/>
          </w:tcPr>
          <w:p>
            <w:pPr>
              <w:spacing w:after="0"/>
              <w:rPr>
                <w:sz w:val="7"/>
                <w:szCs w:val="7"/>
                <w:color w:val="auto"/>
              </w:rPr>
            </w:pPr>
          </w:p>
        </w:tc>
        <w:tc>
          <w:tcPr>
            <w:tcW w:w="300" w:type="dxa"/>
            <w:vAlign w:val="bottom"/>
            <w:tcBorders>
              <w:bottom w:val="single" w:sz="8" w:color="808080"/>
            </w:tcBorders>
            <w:gridSpan w:val="2"/>
          </w:tcPr>
          <w:p>
            <w:pPr>
              <w:spacing w:after="0"/>
              <w:rPr>
                <w:sz w:val="7"/>
                <w:szCs w:val="7"/>
                <w:color w:val="auto"/>
              </w:rPr>
            </w:pPr>
          </w:p>
        </w:tc>
        <w:tc>
          <w:tcPr>
            <w:tcW w:w="20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gridSpan w:val="3"/>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200" w:type="dxa"/>
            <w:vAlign w:val="bottom"/>
            <w:gridSpan w:val="2"/>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600" w:type="dxa"/>
            <w:vAlign w:val="bottom"/>
            <w:gridSpan w:val="2"/>
          </w:tcPr>
          <w:p>
            <w:pPr>
              <w:spacing w:after="0"/>
              <w:rPr>
                <w:sz w:val="7"/>
                <w:szCs w:val="7"/>
                <w:color w:val="auto"/>
              </w:rPr>
            </w:pPr>
          </w:p>
        </w:tc>
        <w:tc>
          <w:tcPr>
            <w:tcW w:w="20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6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$3.0</w:t>
            </w:r>
          </w:p>
        </w:tc>
        <w:tc>
          <w:tcPr>
            <w:tcW w:w="380" w:type="dxa"/>
            <w:vAlign w:val="bottom"/>
            <w:shd w:val="clear" w:color="auto" w:fill="EEEEEE"/>
          </w:tcPr>
          <w:p>
            <w:pPr>
              <w:spacing w:after="0"/>
              <w:rPr>
                <w:sz w:val="16"/>
                <w:szCs w:val="16"/>
                <w:color w:val="auto"/>
              </w:rPr>
            </w:pPr>
          </w:p>
        </w:tc>
        <w:tc>
          <w:tcPr>
            <w:tcW w:w="620" w:type="dxa"/>
            <w:vAlign w:val="bottom"/>
            <w:gridSpan w:val="5"/>
            <w:shd w:val="clear" w:color="auto" w:fill="EEEEEE"/>
          </w:tcPr>
          <w:p>
            <w:pPr>
              <w:ind w:left="540"/>
              <w:spacing w:after="0"/>
              <w:rPr>
                <w:sz w:val="20"/>
                <w:szCs w:val="20"/>
                <w:color w:val="auto"/>
              </w:rPr>
            </w:pPr>
            <w:r>
              <w:rPr>
                <w:rFonts w:ascii="Arial" w:cs="Arial" w:eastAsia="Arial" w:hAnsi="Arial"/>
                <w:sz w:val="14"/>
                <w:szCs w:val="14"/>
                <w:color w:val="auto"/>
                <w:w w:val="76"/>
              </w:rPr>
              <w:t>$</w:t>
            </w:r>
          </w:p>
        </w:tc>
        <w:tc>
          <w:tcPr>
            <w:tcW w:w="640" w:type="dxa"/>
            <w:vAlign w:val="bottom"/>
            <w:gridSpan w:val="5"/>
            <w:shd w:val="clear" w:color="auto" w:fill="EEEEEE"/>
          </w:tcPr>
          <w:p>
            <w:pPr>
              <w:ind w:left="140"/>
              <w:spacing w:after="0"/>
              <w:rPr>
                <w:sz w:val="20"/>
                <w:szCs w:val="20"/>
                <w:color w:val="auto"/>
              </w:rPr>
            </w:pPr>
            <w:r>
              <w:rPr>
                <w:rFonts w:ascii="Arial" w:cs="Arial" w:eastAsia="Arial" w:hAnsi="Arial"/>
                <w:sz w:val="16"/>
                <w:szCs w:val="16"/>
                <w:color w:val="auto"/>
              </w:rPr>
              <w:t>—</w:t>
            </w:r>
          </w:p>
        </w:tc>
        <w:tc>
          <w:tcPr>
            <w:tcW w:w="960" w:type="dxa"/>
            <w:vAlign w:val="bottom"/>
            <w:gridSpan w:val="7"/>
            <w:shd w:val="clear" w:color="auto" w:fill="EEEEEE"/>
          </w:tcPr>
          <w:p>
            <w:pPr>
              <w:jc w:val="right"/>
              <w:ind w:right="100"/>
              <w:spacing w:after="0"/>
              <w:rPr>
                <w:sz w:val="20"/>
                <w:szCs w:val="20"/>
                <w:color w:val="auto"/>
              </w:rPr>
            </w:pPr>
            <w:r>
              <w:rPr>
                <w:rFonts w:ascii="Arial" w:cs="Arial" w:eastAsia="Arial" w:hAnsi="Arial"/>
                <w:sz w:val="16"/>
                <w:szCs w:val="16"/>
                <w:color w:val="auto"/>
              </w:rPr>
              <w:t>$(2.7)</w:t>
            </w:r>
          </w:p>
        </w:tc>
        <w:tc>
          <w:tcPr>
            <w:tcW w:w="660" w:type="dxa"/>
            <w:vAlign w:val="bottom"/>
            <w:gridSpan w:val="5"/>
            <w:shd w:val="clear" w:color="auto" w:fill="EEEEEE"/>
          </w:tcPr>
          <w:p>
            <w:pPr>
              <w:ind w:left="58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w w:val="87"/>
              </w:rPr>
              <w:t>—</w:t>
            </w:r>
          </w:p>
        </w:tc>
        <w:tc>
          <w:tcPr>
            <w:tcW w:w="1200" w:type="dxa"/>
            <w:vAlign w:val="bottom"/>
            <w:gridSpan w:val="8"/>
            <w:shd w:val="clear" w:color="auto" w:fill="EEEEEE"/>
          </w:tcPr>
          <w:p>
            <w:pPr>
              <w:jc w:val="right"/>
              <w:ind w:right="20"/>
              <w:spacing w:after="0"/>
              <w:rPr>
                <w:sz w:val="20"/>
                <w:szCs w:val="20"/>
                <w:color w:val="auto"/>
              </w:rPr>
            </w:pPr>
            <w:r>
              <w:rPr>
                <w:rFonts w:ascii="Arial" w:cs="Arial" w:eastAsia="Arial" w:hAnsi="Arial"/>
                <w:sz w:val="16"/>
                <w:szCs w:val="16"/>
                <w:color w:val="auto"/>
              </w:rPr>
              <w:t>$0.3</w:t>
            </w:r>
          </w:p>
        </w:tc>
        <w:tc>
          <w:tcPr>
            <w:tcW w:w="5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-1178560</wp:posOffset>
            </wp:positionV>
            <wp:extent cx="12700"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-1178560</wp:posOffset>
            </wp:positionV>
            <wp:extent cx="12700"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-1178560</wp:posOffset>
            </wp:positionV>
            <wp:extent cx="12700"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-1178560</wp:posOffset>
            </wp:positionV>
            <wp:extent cx="12700"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-1178560</wp:posOffset>
            </wp:positionV>
            <wp:extent cx="12700"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-1178560</wp:posOffset>
            </wp:positionV>
            <wp:extent cx="12700"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-1178560</wp:posOffset>
            </wp:positionV>
            <wp:extent cx="12700"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-1178560</wp:posOffset>
            </wp:positionV>
            <wp:extent cx="12700"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-1178560</wp:posOffset>
            </wp:positionV>
            <wp:extent cx="12700"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-1178560</wp:posOffset>
            </wp:positionV>
            <wp:extent cx="12700"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-34925</wp:posOffset>
            </wp:positionV>
            <wp:extent cx="12700"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-34925</wp:posOffset>
            </wp:positionV>
            <wp:extent cx="12700"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-34925</wp:posOffset>
            </wp:positionV>
            <wp:extent cx="12700"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-34925</wp:posOffset>
            </wp:positionV>
            <wp:extent cx="1270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-34925</wp:posOffset>
            </wp:positionV>
            <wp:extent cx="12700"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-34925</wp:posOffset>
            </wp:positionV>
            <wp:extent cx="12700"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-34925</wp:posOffset>
            </wp:positionV>
            <wp:extent cx="12700"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5545455</wp:posOffset>
            </wp:positionH>
            <wp:positionV relativeFrom="paragraph">
              <wp:posOffset>-34925</wp:posOffset>
            </wp:positionV>
            <wp:extent cx="12700"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-34925</wp:posOffset>
            </wp:positionV>
            <wp:extent cx="12700" cy="35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-34925</wp:posOffset>
            </wp:positionV>
            <wp:extent cx="12700"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severance and benefits charge primarily related to the termination of 147 personnel. All employee termination actions have been completed.</w:t>
      </w:r>
    </w:p>
    <w:p>
      <w:pPr>
        <w:spacing w:after="0" w:line="222" w:lineRule="exact"/>
        <w:rPr>
          <w:sz w:val="20"/>
          <w:szCs w:val="20"/>
          <w:color w:val="auto"/>
        </w:rPr>
      </w:pPr>
    </w:p>
    <w:p>
      <w:pPr>
        <w:ind w:right="160" w:firstLine="286"/>
        <w:spacing w:after="0" w:line="310" w:lineRule="auto"/>
        <w:rPr>
          <w:sz w:val="20"/>
          <w:szCs w:val="20"/>
          <w:color w:val="auto"/>
        </w:rPr>
      </w:pPr>
      <w:r>
        <w:rPr>
          <w:rFonts w:ascii="Arial" w:cs="Arial" w:eastAsia="Arial" w:hAnsi="Arial"/>
          <w:sz w:val="14"/>
          <w:szCs w:val="14"/>
          <w:color w:val="auto"/>
        </w:rPr>
        <w:t>The “Other exit costs” consist of contractual lease and contract takeover obligations. The cash obligations associated with these exit costs will continue through November 2005. Included in Restructurings in the accompanying Consolidated Statements of Operations for the year ended December 31, 2002 are $0.5 million of net gains upon disposal of these impaired assets that resulted from differences between original estimates of fair and net realizable value and amounts realized upon disposal.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63" w:name="page64"/>
    <w:bookmarkEnd w:id="63"/>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98" w:lineRule="exact"/>
        <w:rPr>
          <w:sz w:val="20"/>
          <w:szCs w:val="20"/>
          <w:color w:val="auto"/>
        </w:rPr>
      </w:pPr>
    </w:p>
    <w:p>
      <w:pPr>
        <w:ind w:left="305" w:hanging="305"/>
        <w:spacing w:after="0"/>
        <w:tabs>
          <w:tab w:leader="none" w:pos="305"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 and Lines of Credit:</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Long-term debt at December 31 consists of the following (in millions):</w:t>
      </w:r>
    </w:p>
    <w:p>
      <w:pPr>
        <w:spacing w:after="0" w:line="385" w:lineRule="exact"/>
        <w:rPr>
          <w:sz w:val="20"/>
          <w:szCs w:val="20"/>
          <w:color w:val="auto"/>
        </w:rPr>
      </w:pPr>
    </w:p>
    <w:tbl>
      <w:tblPr>
        <w:tblLayout w:type="fixed"/>
        <w:tblInd w:w="285" w:type="dxa"/>
        <w:tblCellMar>
          <w:top w:w="0" w:type="dxa"/>
          <w:left w:w="0" w:type="dxa"/>
          <w:bottom w:w="0" w:type="dxa"/>
          <w:right w:w="0" w:type="dxa"/>
        </w:tblCellMar>
      </w:tblPr>
      <w:tr>
        <w:trPr>
          <w:trHeight w:val="154"/>
        </w:trPr>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ind w:right="24"/>
              <w:spacing w:after="0"/>
              <w:rPr>
                <w:sz w:val="20"/>
                <w:szCs w:val="20"/>
                <w:color w:val="auto"/>
              </w:rPr>
            </w:pPr>
            <w:r>
              <w:rPr>
                <w:rFonts w:ascii="Arial" w:cs="Arial" w:eastAsia="Arial" w:hAnsi="Arial"/>
                <w:sz w:val="12"/>
                <w:szCs w:val="12"/>
                <w:b w:val="1"/>
                <w:bCs w:val="1"/>
                <w:color w:val="auto"/>
                <w:w w:val="89"/>
              </w:rPr>
              <w:t>2003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97"/>
              </w:rPr>
              <w:t>2002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5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Floating rate revolving loans payable</w:t>
            </w:r>
          </w:p>
        </w:tc>
        <w:tc>
          <w:tcPr>
            <w:tcW w:w="8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w:t>
            </w: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5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6.25% convertible subordinate notes, payable in 2009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143.8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79"/>
              </w:rPr>
              <w:t>143.8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6.73% promissory notes, payable $11.1 annually, 2004 through 2008</w:t>
            </w: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55.5</w:t>
            </w: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66.6</w:t>
            </w: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7.06% promissory note, payable $10.0 annually in 2004 and 2005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6.56% promissory notes, payable in 2005</w:t>
            </w: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25.0</w:t>
            </w: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25.0</w:t>
            </w: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6.75% promissory notes, payable in 2008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8.00% promissory note, payable in 2010</w:t>
            </w: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35.0</w:t>
            </w: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35.0</w:t>
            </w: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7.75% promissory note, payable in 2005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Capitalized lease obligations and other</w:t>
            </w: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358.7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79"/>
              </w:rPr>
              <w:t>370.6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630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Less current maturities</w:t>
            </w: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w w:val="90"/>
              </w:rPr>
              <w:t>(21.4)</w:t>
            </w:r>
          </w:p>
        </w:tc>
        <w:tc>
          <w:tcPr>
            <w:tcW w:w="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00" w:type="dxa"/>
            <w:vAlign w:val="bottom"/>
            <w:tcBorders>
              <w:right w:val="single" w:sz="8" w:color="EEEEEE"/>
            </w:tcBorders>
            <w:shd w:val="clear" w:color="auto" w:fill="EEEEEE"/>
          </w:tcPr>
          <w:p>
            <w:pPr>
              <w:spacing w:after="0"/>
              <w:rPr>
                <w:sz w:val="16"/>
                <w:szCs w:val="16"/>
                <w:color w:val="auto"/>
              </w:rPr>
            </w:pPr>
          </w:p>
        </w:tc>
        <w:tc>
          <w:tcPr>
            <w:tcW w:w="580" w:type="dxa"/>
            <w:vAlign w:val="bottom"/>
            <w:gridSpan w:val="3"/>
            <w:shd w:val="clear" w:color="auto" w:fill="EEEEEE"/>
          </w:tcPr>
          <w:p>
            <w:pPr>
              <w:jc w:val="right"/>
              <w:ind w:right="180"/>
              <w:spacing w:after="0"/>
              <w:rPr>
                <w:sz w:val="20"/>
                <w:szCs w:val="20"/>
                <w:color w:val="auto"/>
              </w:rPr>
            </w:pPr>
            <w:r>
              <w:rPr>
                <w:rFonts w:ascii="Arial" w:cs="Arial" w:eastAsia="Arial" w:hAnsi="Arial"/>
                <w:sz w:val="16"/>
                <w:szCs w:val="16"/>
                <w:color w:val="auto"/>
                <w:w w:val="90"/>
              </w:rPr>
              <w:t>(13.9)</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337.3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79"/>
              </w:rPr>
              <w:t>356.7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740" w:type="dxa"/>
            <w:vAlign w:val="bottom"/>
            <w:gridSpan w:val="4"/>
            <w:vMerge w:val="restart"/>
          </w:tcPr>
          <w:p>
            <w:pPr>
              <w:spacing w:after="0"/>
              <w:rPr>
                <w:sz w:val="20"/>
                <w:szCs w:val="20"/>
                <w:color w:val="auto"/>
              </w:rPr>
            </w:pPr>
            <w:r>
              <w:rPr>
                <w:rFonts w:ascii="Arial" w:cs="Arial" w:eastAsia="Arial" w:hAnsi="Arial"/>
                <w:sz w:val="16"/>
                <w:szCs w:val="16"/>
                <w:color w:val="auto"/>
                <w:w w:val="88"/>
              </w:rPr>
              <w:t>At December 31, 2003, the aggregate amounts of required principal payments on long-term debt are as follows (in millions):</w:t>
            </w: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5"/>
        </w:trPr>
        <w:tc>
          <w:tcPr>
            <w:tcW w:w="77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00" w:type="dxa"/>
            <w:vAlign w:val="bottom"/>
            <w:gridSpan w:val="2"/>
            <w:vMerge w:val="restart"/>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0" w:type="dxa"/>
            <w:vAlign w:val="bottom"/>
            <w:gridSpan w:val="2"/>
            <w:vMerge w:val="continue"/>
          </w:tcPr>
          <w:p>
            <w:pPr>
              <w:spacing w:after="0"/>
              <w:rPr>
                <w:sz w:val="16"/>
                <w:szCs w:val="16"/>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6"/>
                <w:szCs w:val="16"/>
                <w:color w:val="auto"/>
              </w:rPr>
              <w:t>2004</w:t>
            </w:r>
          </w:p>
        </w:tc>
        <w:tc>
          <w:tcPr>
            <w:tcW w:w="2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21.4</w:t>
            </w: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2005</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71.3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spacing w:after="0"/>
              <w:rPr>
                <w:sz w:val="16"/>
                <w:szCs w:val="16"/>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6"/>
                <w:szCs w:val="16"/>
                <w:color w:val="auto"/>
              </w:rPr>
              <w:t>2006</w:t>
            </w:r>
          </w:p>
        </w:tc>
        <w:tc>
          <w:tcPr>
            <w:tcW w:w="2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spacing w:after="0"/>
              <w:rPr>
                <w:sz w:val="16"/>
                <w:szCs w:val="16"/>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spacing w:after="0"/>
              <w:rPr>
                <w:sz w:val="16"/>
                <w:szCs w:val="16"/>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61.3</w:t>
            </w: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w w:val="84"/>
              </w:rPr>
              <w:t>179.1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bottom w:val="single" w:sz="8" w:color="808080"/>
            </w:tcBorders>
            <w:gridSpan w:val="3"/>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5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8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w w:val="84"/>
              </w:rPr>
              <w:t>358.7</w:t>
            </w:r>
          </w:p>
        </w:tc>
        <w:tc>
          <w:tcPr>
            <w:tcW w:w="200" w:type="dxa"/>
            <w:vAlign w:val="bottom"/>
            <w:tcBorders>
              <w:right w:val="single" w:sz="8" w:color="EEEEEE"/>
            </w:tcBorders>
            <w:shd w:val="clear" w:color="auto" w:fill="EEEEEE"/>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-1663065</wp:posOffset>
            </wp:positionV>
            <wp:extent cx="12700"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-1663065</wp:posOffset>
            </wp:positionV>
            <wp:extent cx="12700"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-1663065</wp:posOffset>
            </wp:positionV>
            <wp:extent cx="12700"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-1663065</wp:posOffset>
            </wp:positionV>
            <wp:extent cx="12700"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-34925</wp:posOffset>
            </wp:positionV>
            <wp:extent cx="12700"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-34925</wp:posOffset>
            </wp:positionV>
            <wp:extent cx="12700"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5" w:right="120" w:firstLine="286"/>
        <w:spacing w:after="0" w:line="285" w:lineRule="auto"/>
        <w:rPr>
          <w:sz w:val="20"/>
          <w:szCs w:val="20"/>
          <w:color w:val="auto"/>
        </w:rPr>
      </w:pPr>
      <w:r>
        <w:rPr>
          <w:rFonts w:ascii="Arial" w:cs="Arial" w:eastAsia="Arial" w:hAnsi="Arial"/>
          <w:sz w:val="14"/>
          <w:szCs w:val="14"/>
          <w:color w:val="auto"/>
        </w:rPr>
        <w:t>The Company has bank lines of credit aggregating $275.5 million, of which $6.7 million was borrowed and outstanding, and $65.1 million was committed to standby letters of credit at December 31, 2003. The remaining $203.7 million was available for future borrowings, subject to financial covenant limitations. Included in the lines of credit are several regional facilities and a multi-currency facility in the amount of $225 million governed by agreements between the Company and a syndicate of banks. In September 2003, the Company amended its former domestic facility to, among other things, base covenants on the financials of domestic and foreign subsidiaries, extend the facility maturity date to September 2006 and reduce capacity from $270 million to $205 million. In October 2003, the facility capacity was increased to $225 million. The facility bears interest, at the Company’s option, at a rate equal to either (a) the greater of the bank’s prime rate or the federal funds rate plus 0.5% or (b) the London Interbank Offered Rate plus a margin equal to</w:t>
      </w:r>
    </w:p>
    <w:p>
      <w:pPr>
        <w:spacing w:after="0" w:line="3" w:lineRule="exact"/>
        <w:rPr>
          <w:sz w:val="20"/>
          <w:szCs w:val="20"/>
          <w:color w:val="auto"/>
        </w:rPr>
      </w:pPr>
    </w:p>
    <w:p>
      <w:pPr>
        <w:ind w:left="5"/>
        <w:spacing w:after="0" w:line="295" w:lineRule="auto"/>
        <w:rPr>
          <w:sz w:val="20"/>
          <w:szCs w:val="20"/>
          <w:color w:val="auto"/>
        </w:rPr>
      </w:pPr>
      <w:r>
        <w:rPr>
          <w:rFonts w:ascii="Arial" w:cs="Arial" w:eastAsia="Arial" w:hAnsi="Arial"/>
          <w:sz w:val="14"/>
          <w:szCs w:val="14"/>
          <w:color w:val="auto"/>
        </w:rPr>
        <w:t>1.0% to 2.5%, depending upon the ratio of total funded debt-to-earnings before interest, taxes, depreciation and amortization (“EBITDA”) as defined in the facility. The Company pays a facility fee, depending upon the ratio of total funded debt to EBITDA, equal to 0.25% to 0.50% of the capacity. The facility includes restrictive covenants that limit the Company’s ability to incur additional indebtedness, encumber its assets, sell its assets, or pay dividends. There are no required payments prior to the expiration of the facility. The Company’s facility and promissory notes are secured by the stock of the Company’s major subsidiaries. The facility requires that LII annually and quarterly deliver financial statements, as well as compliance certificates, to the banks within a specified period of time. As a result of the delay in filing of LII’s Annual Report on Form 10-K for the year</w:t>
      </w:r>
    </w:p>
    <w:p>
      <w:pPr>
        <w:spacing w:after="0" w:line="150"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5"/>
          </w:cols>
          <w:pgMar w:left="235" w:top="386" w:right="27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ended December 31, 2003 and Quarterly Reports on Forms 10-Q for the quarters ended March 31, 2004 and June 30, 2004, LII requested and received waivers from its banks through December 31, 2004, of any breach due to a delay in the delivery of its annual and quarterly financial statements, as well as compliance certificates. Upon filing this Annual Report on Form 10-K and LII’s Quarterly Reports on Form 10-Q for the quarters ended March 31, 2004 and June 30, 2004 with the SEC and by delivering a copy of these filings to the Administrative Agent under the facility, LII will comply with the terms of the facility.</w:t>
      </w:r>
    </w:p>
    <w:p>
      <w:pPr>
        <w:spacing w:after="0" w:line="199" w:lineRule="exact"/>
        <w:rPr>
          <w:sz w:val="20"/>
          <w:szCs w:val="20"/>
          <w:color w:val="auto"/>
        </w:rPr>
      </w:pPr>
    </w:p>
    <w:p>
      <w:pPr>
        <w:ind w:right="20" w:firstLine="286"/>
        <w:spacing w:after="0" w:line="285" w:lineRule="auto"/>
        <w:rPr>
          <w:sz w:val="20"/>
          <w:szCs w:val="20"/>
          <w:color w:val="auto"/>
        </w:rPr>
      </w:pPr>
      <w:r>
        <w:rPr>
          <w:rFonts w:ascii="Arial" w:cs="Arial" w:eastAsia="Arial" w:hAnsi="Arial"/>
          <w:sz w:val="14"/>
          <w:szCs w:val="14"/>
          <w:color w:val="auto"/>
        </w:rPr>
        <w:t>On May 8, 2002, the Company issued $143.8 million of 6.25% convertible subordinated notes (“Notes”), maturing June 1, 2009, and received proceeds totaling approximately $139 million after debt issuance costs. Interest is payable semi-annually on June 1 and December 1 of each year. Each $1,000 Note is convertible into 55.29 shares of common stock. Redemption can occur at the Company’s option beginning in June 2005 if the market price of the Company’s Common Stock has exceeded $23.52 during specified periods and at the option of the Note holders if the market price of the Company’s Common Stock has exceeded $19.90 during specified periods or if the market price of the Notes is less than 95% of the market price of the stock multiplied by 55.29. The Notes are junior in right of payment to all of our existing and future senior indebtedness, and are structurally subordinated to all liabilities of our subsidiaries, including trade payables, lease commitments and money borrowed. Under the Registration Rights Agreement, dated as of May 8, 2002 (the “Registration Rights Agreement”), between LII, UBS Warburg LLC and the other initial purchasers relating to the Notes, LII agreed that during the two-year period from the date of issuance of the Notes (May 8, 2002), LII would file with the SEC a registration statement on the Notes and cause the registration statement to be declared effective and usable for the offer and sale of the Notes. The delay in filing of LII’s Annual Report on Form 10-K caused a default on April 29, 2004 under the Registration Rights Agreements (the “Default Date”) since the registration statement ceased to be effective through May 8, 2004 (a “Registration Default”). Upon a Registration Default, LII became contractually obligated to pay an additional</w:t>
      </w:r>
    </w:p>
    <w:p>
      <w:pPr>
        <w:spacing w:after="0" w:line="2"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0.25% per annum interest (“Liquidated Damages”) from the Default Date until the second anniversary of the issuance of the Notes. As of May 8, 2004, LII was no longer in default with no further Liquidated Damages required. LII paid approximately $32,000 in Liquidated Damages on June 1, 2004.</w:t>
      </w:r>
    </w:p>
    <w:p>
      <w:pPr>
        <w:spacing w:after="0" w:line="197" w:lineRule="exact"/>
        <w:rPr>
          <w:sz w:val="20"/>
          <w:szCs w:val="20"/>
          <w:color w:val="auto"/>
        </w:rPr>
      </w:pPr>
    </w:p>
    <w:p>
      <w:pPr>
        <w:ind w:firstLine="286"/>
        <w:spacing w:after="0" w:line="252" w:lineRule="auto"/>
        <w:rPr>
          <w:sz w:val="20"/>
          <w:szCs w:val="20"/>
          <w:color w:val="auto"/>
        </w:rPr>
      </w:pPr>
      <w:r>
        <w:rPr>
          <w:rFonts w:ascii="Arial" w:cs="Arial" w:eastAsia="Arial" w:hAnsi="Arial"/>
          <w:sz w:val="16"/>
          <w:szCs w:val="16"/>
          <w:color w:val="auto"/>
        </w:rPr>
        <w:t>Under a revolving period asset securitization arrangement, the Company transfers beneficial interests in a portion of its trade accounts receivable to a third party in exchange for cash. The Company’s continued involvement in the transferred assets is limited to servicing. These transfers are accounted for as sales rather than secured borrowing. The fair values assigned to the retained and transferred interests are based primarily on the receivables carrying value given the short term to maturity and low credit risk. As of December 31, 2003 and 2002, the Company had sold zero and $99.0 million, respectively, of beneficial interests in accounts receivable. The discount incurred in the sale of such receivables of $2.9 million and $4.3 million for the years ended December 31, 2003 and 2002, respectively, is included as part of Selling, General and Administrative Expense in the accompanying Consolidated Statements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5" w:name="page66"/>
    <w:bookmarkEnd w:id="65"/>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p>
      <w:pPr>
        <w:ind w:left="565" w:hanging="565"/>
        <w:spacing w:after="0"/>
        <w:tabs>
          <w:tab w:leader="none" w:pos="56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income tax provision (benefit) consisted of the following (in millions):</w:t>
      </w:r>
    </w:p>
    <w:p>
      <w:pPr>
        <w:spacing w:after="0" w:line="385" w:lineRule="exact"/>
        <w:rPr>
          <w:sz w:val="20"/>
          <w:szCs w:val="20"/>
          <w:color w:val="auto"/>
        </w:rPr>
      </w:pPr>
    </w:p>
    <w:tbl>
      <w:tblPr>
        <w:tblLayout w:type="fixed"/>
        <w:tblInd w:w="565"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6"/>
          </w:tcPr>
          <w:p>
            <w:pPr>
              <w:ind w:left="160"/>
              <w:spacing w:after="0"/>
              <w:rPr>
                <w:sz w:val="20"/>
                <w:szCs w:val="20"/>
                <w:color w:val="auto"/>
              </w:rPr>
            </w:pPr>
            <w:r>
              <w:rPr>
                <w:rFonts w:ascii="Arial" w:cs="Arial" w:eastAsia="Arial" w:hAnsi="Arial"/>
                <w:sz w:val="12"/>
                <w:szCs w:val="12"/>
                <w:b w:val="1"/>
                <w:bCs w:val="1"/>
                <w:color w:val="auto"/>
                <w:w w:val="99"/>
              </w:rPr>
              <w:t>For the Years Ended December 31,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4"/>
          </w:tcPr>
          <w:p>
            <w:pPr>
              <w:ind w:left="460"/>
              <w:spacing w:after="0"/>
              <w:rPr>
                <w:sz w:val="20"/>
                <w:szCs w:val="20"/>
                <w:color w:val="auto"/>
              </w:rPr>
            </w:pPr>
            <w:r>
              <w:rPr>
                <w:rFonts w:ascii="Arial" w:cs="Arial" w:eastAsia="Arial" w:hAnsi="Arial"/>
                <w:sz w:val="12"/>
                <w:szCs w:val="12"/>
                <w:b w:val="1"/>
                <w:bCs w:val="1"/>
                <w:color w:val="auto"/>
              </w:rPr>
              <w:t>Restated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2002</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6"/>
                <w:szCs w:val="16"/>
                <w:color w:val="auto"/>
              </w:rPr>
              <w:t>Current:</w:t>
            </w:r>
          </w:p>
        </w:tc>
        <w:tc>
          <w:tcPr>
            <w:tcW w:w="4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Federal</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$13.3</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$ 6.2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State</w:t>
            </w:r>
          </w:p>
        </w:tc>
        <w:tc>
          <w:tcPr>
            <w:tcW w:w="90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rPr>
              <w:t>(1.8)</w:t>
            </w:r>
          </w:p>
        </w:tc>
        <w:tc>
          <w:tcPr>
            <w:tcW w:w="1860" w:type="dxa"/>
            <w:vAlign w:val="bottom"/>
            <w:gridSpan w:val="5"/>
            <w:shd w:val="clear" w:color="auto" w:fill="EEEEEE"/>
          </w:tcPr>
          <w:p>
            <w:pPr>
              <w:jc w:val="right"/>
              <w:ind w:right="460"/>
              <w:spacing w:after="0"/>
              <w:rPr>
                <w:sz w:val="20"/>
                <w:szCs w:val="20"/>
                <w:color w:val="auto"/>
              </w:rPr>
            </w:pPr>
            <w:r>
              <w:rPr>
                <w:rFonts w:ascii="Arial" w:cs="Arial" w:eastAsia="Arial" w:hAnsi="Arial"/>
                <w:sz w:val="16"/>
                <w:szCs w:val="16"/>
                <w:color w:val="auto"/>
              </w:rPr>
              <w:t>(1.5)</w:t>
            </w:r>
          </w:p>
        </w:tc>
        <w:tc>
          <w:tcPr>
            <w:tcW w:w="300" w:type="dxa"/>
            <w:vAlign w:val="bottom"/>
            <w:shd w:val="clear" w:color="auto" w:fill="EEEEEE"/>
          </w:tcPr>
          <w:p>
            <w:pPr>
              <w:spacing w:after="0"/>
              <w:rPr>
                <w:sz w:val="16"/>
                <w:szCs w:val="16"/>
                <w:color w:val="auto"/>
              </w:rPr>
            </w:pPr>
          </w:p>
        </w:tc>
        <w:tc>
          <w:tcPr>
            <w:tcW w:w="8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Foreign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6.6</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EEEEEE"/>
          </w:tcPr>
          <w:p>
            <w:pPr>
              <w:ind w:left="540"/>
              <w:spacing w:after="0"/>
              <w:rPr>
                <w:sz w:val="20"/>
                <w:szCs w:val="20"/>
                <w:color w:val="auto"/>
              </w:rPr>
            </w:pPr>
            <w:r>
              <w:rPr>
                <w:rFonts w:ascii="Arial" w:cs="Arial" w:eastAsia="Arial" w:hAnsi="Arial"/>
                <w:sz w:val="16"/>
                <w:szCs w:val="16"/>
                <w:color w:val="auto"/>
              </w:rPr>
              <w:t>Total current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EEEEEE"/>
          </w:tcPr>
          <w:p>
            <w:pPr>
              <w:spacing w:after="0"/>
              <w:rPr>
                <w:sz w:val="16"/>
                <w:szCs w:val="16"/>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18.4</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6.7</w:t>
            </w:r>
          </w:p>
        </w:tc>
        <w:tc>
          <w:tcPr>
            <w:tcW w:w="3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6400" w:type="dxa"/>
            <w:vAlign w:val="bottom"/>
            <w:gridSpan w:val="2"/>
            <w:vMerge w:val="restart"/>
          </w:tcPr>
          <w:p>
            <w:pPr>
              <w:spacing w:after="0"/>
              <w:rPr>
                <w:sz w:val="20"/>
                <w:szCs w:val="20"/>
                <w:color w:val="auto"/>
              </w:rPr>
            </w:pPr>
            <w:r>
              <w:rPr>
                <w:rFonts w:ascii="Arial" w:cs="Arial" w:eastAsia="Arial" w:hAnsi="Arial"/>
                <w:sz w:val="16"/>
                <w:szCs w:val="16"/>
                <w:color w:val="auto"/>
              </w:rPr>
              <w:t>Deferred:</w:t>
            </w: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64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Federal</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EEEEEE"/>
          </w:tcPr>
          <w:p>
            <w:pPr>
              <w:spacing w:after="0"/>
              <w:rPr>
                <w:sz w:val="16"/>
                <w:szCs w:val="16"/>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15.0</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8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State</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5.1</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Foreign</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EEEEEE"/>
          </w:tcPr>
          <w:p>
            <w:pPr>
              <w:spacing w:after="0"/>
              <w:rPr>
                <w:sz w:val="16"/>
                <w:szCs w:val="16"/>
                <w:color w:val="auto"/>
              </w:rPr>
            </w:pPr>
          </w:p>
        </w:tc>
        <w:tc>
          <w:tcPr>
            <w:tcW w:w="1860" w:type="dxa"/>
            <w:vAlign w:val="bottom"/>
            <w:gridSpan w:val="5"/>
            <w:shd w:val="clear" w:color="auto" w:fill="EEEEEE"/>
          </w:tcPr>
          <w:p>
            <w:pPr>
              <w:jc w:val="right"/>
              <w:ind w:right="460"/>
              <w:spacing w:after="0"/>
              <w:rPr>
                <w:sz w:val="20"/>
                <w:szCs w:val="20"/>
                <w:color w:val="auto"/>
              </w:rPr>
            </w:pPr>
            <w:r>
              <w:rPr>
                <w:rFonts w:ascii="Arial" w:cs="Arial" w:eastAsia="Arial" w:hAnsi="Arial"/>
                <w:sz w:val="16"/>
                <w:szCs w:val="16"/>
                <w:color w:val="auto"/>
              </w:rPr>
              <w:t>(4.3)</w:t>
            </w:r>
          </w:p>
        </w:tc>
        <w:tc>
          <w:tcPr>
            <w:tcW w:w="300" w:type="dxa"/>
            <w:vAlign w:val="bottom"/>
            <w:shd w:val="clear" w:color="auto" w:fill="EEEEEE"/>
          </w:tcPr>
          <w:p>
            <w:pPr>
              <w:spacing w:after="0"/>
              <w:rPr>
                <w:sz w:val="16"/>
                <w:szCs w:val="16"/>
                <w:color w:val="auto"/>
              </w:rPr>
            </w:pPr>
          </w:p>
        </w:tc>
        <w:tc>
          <w:tcPr>
            <w:tcW w:w="8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3"/>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380" w:type="dxa"/>
            <w:vAlign w:val="bottom"/>
          </w:tcPr>
          <w:p>
            <w:pPr>
              <w:ind w:left="540"/>
              <w:spacing w:after="0"/>
              <w:rPr>
                <w:sz w:val="20"/>
                <w:szCs w:val="20"/>
                <w:color w:val="auto"/>
              </w:rPr>
            </w:pPr>
            <w:r>
              <w:rPr>
                <w:rFonts w:ascii="Arial" w:cs="Arial" w:eastAsia="Arial" w:hAnsi="Arial"/>
                <w:sz w:val="16"/>
                <w:szCs w:val="16"/>
                <w:color w:val="auto"/>
              </w:rPr>
              <w:t>Total deferred</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24"/>
                <w:szCs w:val="24"/>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15.8</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shd w:val="clear" w:color="auto" w:fill="EEEEEE"/>
          </w:tcPr>
          <w:p>
            <w:pPr>
              <w:ind w:left="540"/>
              <w:spacing w:after="0"/>
              <w:rPr>
                <w:sz w:val="20"/>
                <w:szCs w:val="20"/>
                <w:color w:val="auto"/>
              </w:rPr>
            </w:pPr>
            <w:r>
              <w:rPr>
                <w:rFonts w:ascii="Arial" w:cs="Arial" w:eastAsia="Arial" w:hAnsi="Arial"/>
                <w:sz w:val="16"/>
                <w:szCs w:val="16"/>
                <w:color w:val="auto"/>
              </w:rPr>
              <w:t>Total income tax provision (benefit)</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$45.3</w:t>
            </w:r>
          </w:p>
        </w:tc>
        <w:tc>
          <w:tcPr>
            <w:tcW w:w="220" w:type="dxa"/>
            <w:vAlign w:val="bottom"/>
            <w:shd w:val="clear" w:color="auto" w:fill="EEEEEE"/>
          </w:tcPr>
          <w:p>
            <w:pPr>
              <w:spacing w:after="0"/>
              <w:rPr>
                <w:sz w:val="16"/>
                <w:szCs w:val="16"/>
                <w:color w:val="auto"/>
              </w:rPr>
            </w:pPr>
          </w:p>
        </w:tc>
        <w:tc>
          <w:tcPr>
            <w:tcW w:w="13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$34.2</w:t>
            </w:r>
          </w:p>
        </w:tc>
        <w:tc>
          <w:tcPr>
            <w:tcW w:w="5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840" w:type="dxa"/>
            <w:vAlign w:val="bottom"/>
            <w:gridSpan w:val="4"/>
            <w:shd w:val="clear" w:color="auto" w:fill="EEEEEE"/>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-34925</wp:posOffset>
            </wp:positionV>
            <wp:extent cx="12700"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-34925</wp:posOffset>
            </wp:positionV>
            <wp:extent cx="12700" cy="35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5843905</wp:posOffset>
            </wp:positionH>
            <wp:positionV relativeFrom="paragraph">
              <wp:posOffset>-34925</wp:posOffset>
            </wp:positionV>
            <wp:extent cx="12700"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-34925</wp:posOffset>
            </wp:positionV>
            <wp:extent cx="12700"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-34925</wp:posOffset>
            </wp:positionV>
            <wp:extent cx="12700"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6548120</wp:posOffset>
            </wp:positionH>
            <wp:positionV relativeFrom="paragraph">
              <wp:posOffset>-34925</wp:posOffset>
            </wp:positionV>
            <wp:extent cx="12700"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jc w:val="both"/>
        <w:ind w:left="5" w:right="800" w:firstLine="286"/>
        <w:spacing w:after="0" w:line="264" w:lineRule="auto"/>
        <w:rPr>
          <w:sz w:val="20"/>
          <w:szCs w:val="20"/>
          <w:color w:val="auto"/>
        </w:rPr>
      </w:pPr>
      <w:r>
        <w:rPr>
          <w:rFonts w:ascii="Arial" w:cs="Arial" w:eastAsia="Arial" w:hAnsi="Arial"/>
          <w:sz w:val="16"/>
          <w:szCs w:val="16"/>
          <w:color w:val="auto"/>
        </w:rPr>
        <w:t>Income (loss) before income taxes and cumulative effect of accounting change was comprised of $112.6 million domestic and $17.1 million foreign for the year ended December 31, 2003 and $98.4 million domestic and $(21.3) million foreign for the year ended December 31, 2002.</w:t>
      </w:r>
    </w:p>
    <w:p>
      <w:pPr>
        <w:spacing w:after="0" w:line="192" w:lineRule="exact"/>
        <w:rPr>
          <w:sz w:val="20"/>
          <w:szCs w:val="20"/>
          <w:color w:val="auto"/>
        </w:rPr>
      </w:pPr>
    </w:p>
    <w:p>
      <w:pPr>
        <w:ind w:left="5" w:right="300" w:firstLine="286"/>
        <w:spacing w:after="0" w:line="264" w:lineRule="auto"/>
        <w:rPr>
          <w:sz w:val="20"/>
          <w:szCs w:val="20"/>
          <w:color w:val="auto"/>
        </w:rPr>
      </w:pPr>
      <w:r>
        <w:rPr>
          <w:rFonts w:ascii="Arial" w:cs="Arial" w:eastAsia="Arial" w:hAnsi="Arial"/>
          <w:sz w:val="16"/>
          <w:szCs w:val="16"/>
          <w:color w:val="auto"/>
        </w:rPr>
        <w:t>The difference between the income tax provision computed at the statutory federal income tax rate and the financial statement provision for taxes is summarized as follows (in millions):</w:t>
      </w:r>
    </w:p>
    <w:p>
      <w:pPr>
        <w:spacing w:after="0" w:line="348" w:lineRule="exact"/>
        <w:rPr>
          <w:sz w:val="20"/>
          <w:szCs w:val="20"/>
          <w:color w:val="auto"/>
        </w:rPr>
      </w:pPr>
    </w:p>
    <w:tbl>
      <w:tblPr>
        <w:tblLayout w:type="fixed"/>
        <w:tblInd w:w="1145" w:type="dxa"/>
        <w:tblCellMar>
          <w:top w:w="0" w:type="dxa"/>
          <w:left w:w="0" w:type="dxa"/>
          <w:bottom w:w="0" w:type="dxa"/>
          <w:right w:w="0" w:type="dxa"/>
        </w:tblCellMar>
      </w:tblPr>
      <w:tr>
        <w:trPr>
          <w:trHeight w:val="138"/>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Restated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4"/>
        </w:trPr>
        <w:tc>
          <w:tcPr>
            <w:tcW w:w="608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180" w:type="dxa"/>
            <w:vAlign w:val="bottom"/>
          </w:tcPr>
          <w:p>
            <w:pPr>
              <w:spacing w:after="0"/>
              <w:rPr>
                <w:sz w:val="13"/>
                <w:szCs w:val="13"/>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2002</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97"/>
              </w:rPr>
              <w:t>2001</w:t>
            </w:r>
          </w:p>
        </w:tc>
        <w:tc>
          <w:tcPr>
            <w:tcW w:w="260" w:type="dxa"/>
            <w:vAlign w:val="bottom"/>
          </w:tcPr>
          <w:p>
            <w:pPr>
              <w:spacing w:after="0"/>
              <w:rPr>
                <w:sz w:val="13"/>
                <w:szCs w:val="13"/>
                <w:color w:val="auto"/>
              </w:rPr>
            </w:pPr>
          </w:p>
        </w:tc>
      </w:tr>
      <w:tr>
        <w:trPr>
          <w:trHeight w:val="83"/>
        </w:trPr>
        <w:tc>
          <w:tcPr>
            <w:tcW w:w="60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r>
      <w:tr>
        <w:trPr>
          <w:trHeight w:val="87"/>
        </w:trPr>
        <w:tc>
          <w:tcPr>
            <w:tcW w:w="6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91"/>
        </w:trPr>
        <w:tc>
          <w:tcPr>
            <w:tcW w:w="6080" w:type="dxa"/>
            <w:vAlign w:val="bottom"/>
            <w:shd w:val="clear" w:color="auto" w:fill="EEEEEE"/>
          </w:tcPr>
          <w:p>
            <w:pPr>
              <w:spacing w:after="0"/>
              <w:rPr>
                <w:sz w:val="20"/>
                <w:szCs w:val="20"/>
                <w:color w:val="auto"/>
              </w:rPr>
            </w:pPr>
            <w:r>
              <w:rPr>
                <w:rFonts w:ascii="Arial" w:cs="Arial" w:eastAsia="Arial" w:hAnsi="Arial"/>
                <w:sz w:val="16"/>
                <w:szCs w:val="16"/>
                <w:color w:val="auto"/>
              </w:rPr>
              <w:t>Provision (benefit) at the U.S. statutory rate of 35%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$45.4</w:t>
            </w:r>
          </w:p>
        </w:tc>
        <w:tc>
          <w:tcPr>
            <w:tcW w:w="180" w:type="dxa"/>
            <w:vAlign w:val="bottom"/>
            <w:shd w:val="clear" w:color="auto" w:fill="EEEEEE"/>
          </w:tcPr>
          <w:p>
            <w:pPr>
              <w:spacing w:after="0"/>
              <w:rPr>
                <w:sz w:val="16"/>
                <w:szCs w:val="16"/>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$27.0</w:t>
            </w:r>
          </w:p>
        </w:tc>
        <w:tc>
          <w:tcPr>
            <w:tcW w:w="34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w w:val="86"/>
              </w:rPr>
              <w:t>(15.5)</w:t>
            </w:r>
          </w:p>
        </w:tc>
      </w:tr>
      <w:tr>
        <w:trPr>
          <w:trHeight w:val="191"/>
        </w:trPr>
        <w:tc>
          <w:tcPr>
            <w:tcW w:w="6080" w:type="dxa"/>
            <w:vAlign w:val="bottom"/>
          </w:tcPr>
          <w:p>
            <w:pPr>
              <w:spacing w:after="0"/>
              <w:rPr>
                <w:sz w:val="20"/>
                <w:szCs w:val="20"/>
                <w:color w:val="auto"/>
              </w:rPr>
            </w:pPr>
            <w:r>
              <w:rPr>
                <w:rFonts w:ascii="Arial" w:cs="Arial" w:eastAsia="Arial" w:hAnsi="Arial"/>
                <w:sz w:val="16"/>
                <w:szCs w:val="16"/>
                <w:color w:val="auto"/>
              </w:rPr>
              <w:t>Increase (reduction) in tax expense resulting from:</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1"/>
        </w:trPr>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State income tax, net of federal income tax benefit</w:t>
            </w: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(0.5)</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2.3</w:t>
            </w:r>
          </w:p>
        </w:tc>
        <w:tc>
          <w:tcPr>
            <w:tcW w:w="3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(2.8)</w:t>
            </w:r>
          </w:p>
        </w:tc>
      </w:tr>
      <w:tr>
        <w:trPr>
          <w:trHeight w:val="191"/>
        </w:trPr>
        <w:tc>
          <w:tcPr>
            <w:tcW w:w="6080" w:type="dxa"/>
            <w:vAlign w:val="bottom"/>
          </w:tcPr>
          <w:p>
            <w:pPr>
              <w:ind w:left="260"/>
              <w:spacing w:after="0"/>
              <w:rPr>
                <w:sz w:val="20"/>
                <w:szCs w:val="20"/>
                <w:color w:val="auto"/>
              </w:rPr>
            </w:pPr>
            <w:r>
              <w:rPr>
                <w:rFonts w:ascii="Arial" w:cs="Arial" w:eastAsia="Arial" w:hAnsi="Arial"/>
                <w:sz w:val="16"/>
                <w:szCs w:val="16"/>
                <w:color w:val="auto"/>
              </w:rPr>
              <w:t>Foreign losses not providing a current benefit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191"/>
        </w:trPr>
        <w:tc>
          <w:tcPr>
            <w:tcW w:w="60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Goodwill and other permanent items</w:t>
            </w: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(1.2)</w:t>
            </w:r>
          </w:p>
        </w:tc>
        <w:tc>
          <w:tcPr>
            <w:tcW w:w="1320" w:type="dxa"/>
            <w:vAlign w:val="bottom"/>
            <w:gridSpan w:val="4"/>
            <w:shd w:val="clear" w:color="auto" w:fill="EEEEEE"/>
          </w:tcPr>
          <w:p>
            <w:pPr>
              <w:jc w:val="right"/>
              <w:ind w:right="280"/>
              <w:spacing w:after="0"/>
              <w:rPr>
                <w:sz w:val="20"/>
                <w:szCs w:val="20"/>
                <w:color w:val="auto"/>
              </w:rPr>
            </w:pPr>
            <w:r>
              <w:rPr>
                <w:rFonts w:ascii="Arial" w:cs="Arial" w:eastAsia="Arial" w:hAnsi="Arial"/>
                <w:sz w:val="16"/>
                <w:szCs w:val="16"/>
                <w:color w:val="auto"/>
              </w:rPr>
              <w:t>(2.9)</w:t>
            </w: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9.6</w:t>
            </w:r>
          </w:p>
        </w:tc>
        <w:tc>
          <w:tcPr>
            <w:tcW w:w="260" w:type="dxa"/>
            <w:vAlign w:val="bottom"/>
            <w:shd w:val="clear" w:color="auto" w:fill="EEEEEE"/>
          </w:tcPr>
          <w:p>
            <w:pPr>
              <w:spacing w:after="0"/>
              <w:rPr>
                <w:sz w:val="16"/>
                <w:szCs w:val="16"/>
                <w:color w:val="auto"/>
              </w:rPr>
            </w:pPr>
          </w:p>
        </w:tc>
      </w:tr>
      <w:tr>
        <w:trPr>
          <w:trHeight w:val="196"/>
        </w:trPr>
        <w:tc>
          <w:tcPr>
            <w:tcW w:w="6080" w:type="dxa"/>
            <w:vAlign w:val="bottom"/>
          </w:tcPr>
          <w:p>
            <w:pPr>
              <w:ind w:left="260"/>
              <w:spacing w:after="0"/>
              <w:rPr>
                <w:sz w:val="20"/>
                <w:szCs w:val="20"/>
                <w:color w:val="auto"/>
              </w:rPr>
            </w:pPr>
            <w:r>
              <w:rPr>
                <w:rFonts w:ascii="Arial" w:cs="Arial" w:eastAsia="Arial" w:hAnsi="Arial"/>
                <w:sz w:val="16"/>
                <w:szCs w:val="16"/>
                <w:color w:val="auto"/>
              </w:rPr>
              <w:t>Foreign taxes at rates other than 35% and miscellaneous other</w:t>
            </w:r>
          </w:p>
        </w:tc>
        <w:tc>
          <w:tcPr>
            <w:tcW w:w="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320" w:type="dxa"/>
            <w:vAlign w:val="bottom"/>
            <w:gridSpan w:val="4"/>
          </w:tcPr>
          <w:p>
            <w:pPr>
              <w:jc w:val="right"/>
              <w:ind w:right="280"/>
              <w:spacing w:after="0"/>
              <w:rPr>
                <w:sz w:val="20"/>
                <w:szCs w:val="20"/>
                <w:color w:val="auto"/>
              </w:rPr>
            </w:pPr>
            <w:r>
              <w:rPr>
                <w:rFonts w:ascii="Arial" w:cs="Arial" w:eastAsia="Arial" w:hAnsi="Arial"/>
                <w:sz w:val="16"/>
                <w:szCs w:val="16"/>
                <w:color w:val="auto"/>
              </w:rPr>
              <w:t>(0.8)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7"/>
                <w:szCs w:val="17"/>
                <w:color w:val="auto"/>
              </w:rPr>
            </w:pPr>
          </w:p>
        </w:tc>
      </w:tr>
      <w:tr>
        <w:trPr>
          <w:trHeight w:val="90"/>
        </w:trPr>
        <w:tc>
          <w:tcPr>
            <w:tcW w:w="6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r>
      <w:tr>
        <w:trPr>
          <w:trHeight w:val="87"/>
        </w:trPr>
        <w:tc>
          <w:tcPr>
            <w:tcW w:w="6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91"/>
        </w:trPr>
        <w:tc>
          <w:tcPr>
            <w:tcW w:w="6080" w:type="dxa"/>
            <w:vAlign w:val="bottom"/>
            <w:shd w:val="clear" w:color="auto" w:fill="EEEEEE"/>
          </w:tcPr>
          <w:p>
            <w:pPr>
              <w:ind w:left="500"/>
              <w:spacing w:after="0"/>
              <w:rPr>
                <w:sz w:val="20"/>
                <w:szCs w:val="20"/>
                <w:color w:val="auto"/>
              </w:rPr>
            </w:pPr>
            <w:r>
              <w:rPr>
                <w:rFonts w:ascii="Arial" w:cs="Arial" w:eastAsia="Arial" w:hAnsi="Arial"/>
                <w:sz w:val="16"/>
                <w:szCs w:val="16"/>
                <w:color w:val="auto"/>
              </w:rPr>
              <w:t>Total income tax provision (benefit)</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$45.3</w:t>
            </w:r>
          </w:p>
        </w:tc>
        <w:tc>
          <w:tcPr>
            <w:tcW w:w="180" w:type="dxa"/>
            <w:vAlign w:val="bottom"/>
            <w:shd w:val="clear" w:color="auto" w:fill="EEEEEE"/>
          </w:tcPr>
          <w:p>
            <w:pPr>
              <w:spacing w:after="0"/>
              <w:rPr>
                <w:sz w:val="16"/>
                <w:szCs w:val="16"/>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$34.2</w:t>
            </w:r>
          </w:p>
        </w:tc>
        <w:tc>
          <w:tcPr>
            <w:tcW w:w="34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(2.0)</w:t>
            </w:r>
          </w:p>
        </w:tc>
      </w:tr>
      <w:tr>
        <w:trPr>
          <w:trHeight w:val="127"/>
        </w:trPr>
        <w:tc>
          <w:tcPr>
            <w:tcW w:w="6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-34925</wp:posOffset>
            </wp:positionV>
            <wp:extent cx="12700"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-34925</wp:posOffset>
            </wp:positionV>
            <wp:extent cx="12700" cy="35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-34925</wp:posOffset>
            </wp:positionV>
            <wp:extent cx="12700"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5427345</wp:posOffset>
            </wp:positionH>
            <wp:positionV relativeFrom="paragraph">
              <wp:posOffset>-34925</wp:posOffset>
            </wp:positionV>
            <wp:extent cx="12700"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-34925</wp:posOffset>
            </wp:positionV>
            <wp:extent cx="12700"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-34925</wp:posOffset>
            </wp:positionV>
            <wp:extent cx="12700"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jc w:val="both"/>
        <w:ind w:left="5" w:firstLine="286"/>
        <w:spacing w:after="0" w:line="256" w:lineRule="auto"/>
        <w:rPr>
          <w:sz w:val="20"/>
          <w:szCs w:val="20"/>
          <w:color w:val="auto"/>
        </w:rPr>
      </w:pPr>
      <w:r>
        <w:rPr>
          <w:rFonts w:ascii="Arial" w:cs="Arial" w:eastAsia="Arial" w:hAnsi="Arial"/>
          <w:sz w:val="16"/>
          <w:szCs w:val="16"/>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right="640" w:firstLine="286"/>
        <w:spacing w:after="0" w:line="264" w:lineRule="auto"/>
        <w:rPr>
          <w:sz w:val="20"/>
          <w:szCs w:val="20"/>
          <w:color w:val="auto"/>
        </w:rPr>
      </w:pPr>
      <w:r>
        <w:rPr>
          <w:rFonts w:ascii="Arial" w:cs="Arial" w:eastAsia="Arial" w:hAnsi="Arial"/>
          <w:sz w:val="16"/>
          <w:szCs w:val="16"/>
          <w:color w:val="auto"/>
        </w:rPr>
        <w:t>Deferred tax assets (liabilities), as determined under the provisions of SFAS No. 109, “Accounting for Income Taxes,” were comprised of the following at December 31 (in millions):</w:t>
      </w:r>
    </w:p>
    <w:p>
      <w:pPr>
        <w:spacing w:after="0" w:line="34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154"/>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jc w:val="right"/>
              <w:ind w:right="23"/>
              <w:spacing w:after="0"/>
              <w:rPr>
                <w:sz w:val="20"/>
                <w:szCs w:val="20"/>
                <w:color w:val="auto"/>
              </w:rPr>
            </w:pPr>
            <w:r>
              <w:rPr>
                <w:rFonts w:ascii="Arial" w:cs="Arial" w:eastAsia="Arial" w:hAnsi="Arial"/>
                <w:sz w:val="12"/>
                <w:szCs w:val="12"/>
                <w:b w:val="1"/>
                <w:bCs w:val="1"/>
                <w:color w:val="auto"/>
                <w:w w:val="89"/>
              </w:rPr>
              <w:t>2003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97"/>
              </w:rPr>
              <w:t>2002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7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spacing w:after="0"/>
              <w:rPr>
                <w:sz w:val="20"/>
                <w:szCs w:val="20"/>
                <w:color w:val="auto"/>
              </w:rPr>
            </w:pPr>
            <w:r>
              <w:rPr>
                <w:rFonts w:ascii="Arial" w:cs="Arial" w:eastAsia="Arial" w:hAnsi="Arial"/>
                <w:sz w:val="16"/>
                <w:szCs w:val="16"/>
                <w:color w:val="auto"/>
              </w:rPr>
              <w:t>Gross deferred tax assets: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200"/>
              <w:spacing w:after="0"/>
              <w:rPr>
                <w:sz w:val="20"/>
                <w:szCs w:val="20"/>
                <w:color w:val="auto"/>
              </w:rPr>
            </w:pPr>
            <w:r>
              <w:rPr>
                <w:rFonts w:ascii="Arial" w:cs="Arial" w:eastAsia="Arial" w:hAnsi="Arial"/>
                <w:sz w:val="16"/>
                <w:szCs w:val="16"/>
                <w:color w:val="auto"/>
              </w:rPr>
              <w:t>Warranties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23.7</w:t>
            </w:r>
          </w:p>
        </w:tc>
        <w:tc>
          <w:tcPr>
            <w:tcW w:w="240" w:type="dxa"/>
            <w:vAlign w:val="bottom"/>
          </w:tcPr>
          <w:p>
            <w:pPr>
              <w:spacing w:after="0"/>
              <w:rPr>
                <w:sz w:val="16"/>
                <w:szCs w:val="16"/>
                <w:color w:val="auto"/>
              </w:rPr>
            </w:pPr>
          </w:p>
        </w:tc>
        <w:tc>
          <w:tcPr>
            <w:tcW w:w="600" w:type="dxa"/>
            <w:vAlign w:val="bottom"/>
            <w:gridSpan w:val="3"/>
          </w:tcPr>
          <w:p>
            <w:pPr>
              <w:ind w:left="520"/>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26.6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NOLs (foreign and U.S. state)</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54.9</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45.9</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200"/>
              <w:spacing w:after="0"/>
              <w:rPr>
                <w:sz w:val="20"/>
                <w:szCs w:val="20"/>
                <w:color w:val="auto"/>
              </w:rPr>
            </w:pPr>
            <w:r>
              <w:rPr>
                <w:rFonts w:ascii="Arial" w:cs="Arial" w:eastAsia="Arial" w:hAnsi="Arial"/>
                <w:sz w:val="16"/>
                <w:szCs w:val="16"/>
                <w:color w:val="auto"/>
              </w:rPr>
              <w:t>Postretirement and pension benefits</w:t>
            </w: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Inventory reserves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200"/>
              <w:spacing w:after="0"/>
              <w:rPr>
                <w:sz w:val="20"/>
                <w:szCs w:val="20"/>
                <w:color w:val="auto"/>
              </w:rPr>
            </w:pPr>
            <w:r>
              <w:rPr>
                <w:rFonts w:ascii="Arial" w:cs="Arial" w:eastAsia="Arial" w:hAnsi="Arial"/>
                <w:sz w:val="16"/>
                <w:szCs w:val="16"/>
                <w:color w:val="auto"/>
              </w:rPr>
              <w:t>Receivable allowance</w:t>
            </w: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Compensation liabilities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26.9</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24.7</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tcPr>
          <w:p>
            <w:pPr>
              <w:ind w:left="200"/>
              <w:spacing w:after="0"/>
              <w:rPr>
                <w:sz w:val="20"/>
                <w:szCs w:val="20"/>
                <w:color w:val="auto"/>
              </w:rPr>
            </w:pPr>
            <w:r>
              <w:rPr>
                <w:rFonts w:ascii="Arial" w:cs="Arial" w:eastAsia="Arial" w:hAnsi="Arial"/>
                <w:sz w:val="16"/>
                <w:szCs w:val="16"/>
                <w:color w:val="auto"/>
              </w:rPr>
              <w:t>Deferred income</w:t>
            </w: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Intangibles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20.9</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440"/>
              <w:spacing w:after="0"/>
              <w:rPr>
                <w:sz w:val="20"/>
                <w:szCs w:val="20"/>
                <w:color w:val="auto"/>
              </w:rPr>
            </w:pPr>
            <w:r>
              <w:rPr>
                <w:rFonts w:ascii="Arial" w:cs="Arial" w:eastAsia="Arial" w:hAnsi="Arial"/>
                <w:sz w:val="16"/>
                <w:szCs w:val="16"/>
                <w:color w:val="auto"/>
              </w:rPr>
              <w:t>Total deferred tax assets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168.7</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175.6</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4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(39.4)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w w:val="90"/>
              </w:rPr>
              <w:t>(29.7)</w:t>
            </w:r>
          </w:p>
        </w:tc>
        <w:tc>
          <w:tcPr>
            <w:tcW w:w="0" w:type="dxa"/>
            <w:vAlign w:val="bottom"/>
          </w:tcPr>
          <w:p>
            <w:pPr>
              <w:spacing w:after="0"/>
              <w:rPr>
                <w:sz w:val="1"/>
                <w:szCs w:val="1"/>
                <w:color w:val="auto"/>
              </w:rPr>
            </w:pPr>
          </w:p>
        </w:tc>
      </w:tr>
      <w:tr>
        <w:trPr>
          <w:trHeight w:val="90"/>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440"/>
              <w:spacing w:after="0"/>
              <w:rPr>
                <w:sz w:val="20"/>
                <w:szCs w:val="20"/>
                <w:color w:val="auto"/>
              </w:rPr>
            </w:pPr>
            <w:r>
              <w:rPr>
                <w:rFonts w:ascii="Arial" w:cs="Arial" w:eastAsia="Arial" w:hAnsi="Arial"/>
                <w:sz w:val="16"/>
                <w:szCs w:val="16"/>
                <w:color w:val="auto"/>
              </w:rPr>
              <w:t>Total deferred tax assets, net of valuation allowance</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129.3</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145.9</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780" w:type="dxa"/>
            <w:vAlign w:val="bottom"/>
            <w:vMerge w:val="restart"/>
          </w:tcPr>
          <w:p>
            <w:pPr>
              <w:spacing w:after="0"/>
              <w:rPr>
                <w:sz w:val="20"/>
                <w:szCs w:val="20"/>
                <w:color w:val="auto"/>
              </w:rPr>
            </w:pPr>
            <w:r>
              <w:rPr>
                <w:rFonts w:ascii="Arial" w:cs="Arial" w:eastAsia="Arial" w:hAnsi="Arial"/>
                <w:sz w:val="16"/>
                <w:szCs w:val="16"/>
                <w:color w:val="auto"/>
              </w:rPr>
              <w:t>Gross deferred tax liabilities:</w:t>
            </w: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w w:val="95"/>
              </w:rPr>
              <w:t>(14.7)</w:t>
            </w: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w w:val="90"/>
              </w:rPr>
              <w:t>(20.3)</w:t>
            </w:r>
          </w:p>
        </w:tc>
        <w:tc>
          <w:tcPr>
            <w:tcW w:w="0" w:type="dxa"/>
            <w:vAlign w:val="bottom"/>
          </w:tcPr>
          <w:p>
            <w:pPr>
              <w:spacing w:after="0"/>
              <w:rPr>
                <w:sz w:val="1"/>
                <w:szCs w:val="1"/>
                <w:color w:val="auto"/>
              </w:rPr>
            </w:pPr>
          </w:p>
        </w:tc>
      </w:tr>
      <w:tr>
        <w:trPr>
          <w:trHeight w:val="191"/>
        </w:trPr>
        <w:tc>
          <w:tcPr>
            <w:tcW w:w="5780" w:type="dxa"/>
            <w:vAlign w:val="bottom"/>
          </w:tcPr>
          <w:p>
            <w:pPr>
              <w:ind w:left="200"/>
              <w:spacing w:after="0"/>
              <w:rPr>
                <w:sz w:val="20"/>
                <w:szCs w:val="20"/>
                <w:color w:val="auto"/>
              </w:rPr>
            </w:pPr>
            <w:r>
              <w:rPr>
                <w:rFonts w:ascii="Arial" w:cs="Arial" w:eastAsia="Arial" w:hAnsi="Arial"/>
                <w:sz w:val="16"/>
                <w:szCs w:val="16"/>
                <w:color w:val="auto"/>
              </w:rPr>
              <w:t>Insurance liabilities</w:t>
            </w:r>
          </w:p>
        </w:tc>
        <w:tc>
          <w:tcPr>
            <w:tcW w:w="3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w w:val="95"/>
              </w:rPr>
              <w:t>(18.6)</w:t>
            </w: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20" w:type="dxa"/>
            <w:vAlign w:val="bottom"/>
            <w:gridSpan w:val="2"/>
            <w:shd w:val="clear" w:color="auto" w:fill="EEEEEE"/>
          </w:tcPr>
          <w:p>
            <w:pPr>
              <w:jc w:val="right"/>
              <w:ind w:right="320"/>
              <w:spacing w:after="0"/>
              <w:rPr>
                <w:sz w:val="20"/>
                <w:szCs w:val="20"/>
                <w:color w:val="auto"/>
              </w:rPr>
            </w:pPr>
            <w:r>
              <w:rPr>
                <w:rFonts w:ascii="Arial" w:cs="Arial" w:eastAsia="Arial" w:hAnsi="Arial"/>
                <w:sz w:val="16"/>
                <w:szCs w:val="16"/>
                <w:color w:val="auto"/>
                <w:w w:val="90"/>
              </w:rPr>
              <w:t>(12.4)</w:t>
            </w: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780" w:type="dxa"/>
            <w:vAlign w:val="bottom"/>
          </w:tcPr>
          <w:p>
            <w:pPr>
              <w:ind w:left="440"/>
              <w:spacing w:after="0"/>
              <w:rPr>
                <w:sz w:val="20"/>
                <w:szCs w:val="20"/>
                <w:color w:val="auto"/>
              </w:rPr>
            </w:pPr>
            <w:r>
              <w:rPr>
                <w:rFonts w:ascii="Arial" w:cs="Arial" w:eastAsia="Arial" w:hAnsi="Arial"/>
                <w:sz w:val="16"/>
                <w:szCs w:val="16"/>
                <w:color w:val="auto"/>
              </w:rPr>
              <w:t>Total deferred tax liabilities</w:t>
            </w:r>
          </w:p>
        </w:tc>
        <w:tc>
          <w:tcPr>
            <w:tcW w:w="30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(36.1)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w w:val="90"/>
              </w:rPr>
              <w:t>(37.4)</w:t>
            </w:r>
          </w:p>
        </w:tc>
        <w:tc>
          <w:tcPr>
            <w:tcW w:w="0" w:type="dxa"/>
            <w:vAlign w:val="bottom"/>
          </w:tcPr>
          <w:p>
            <w:pPr>
              <w:spacing w:after="0"/>
              <w:rPr>
                <w:sz w:val="1"/>
                <w:szCs w:val="1"/>
                <w:color w:val="auto"/>
              </w:rPr>
            </w:pPr>
          </w:p>
        </w:tc>
      </w:tr>
      <w:tr>
        <w:trPr>
          <w:trHeight w:val="97"/>
        </w:trPr>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EEEEEE"/>
          </w:tcPr>
          <w:p>
            <w:pPr>
              <w:spacing w:after="0"/>
              <w:rPr>
                <w:sz w:val="20"/>
                <w:szCs w:val="20"/>
                <w:color w:val="auto"/>
              </w:rPr>
            </w:pPr>
            <w:r>
              <w:rPr>
                <w:rFonts w:ascii="Arial" w:cs="Arial" w:eastAsia="Arial" w:hAnsi="Arial"/>
                <w:sz w:val="16"/>
                <w:szCs w:val="16"/>
                <w:color w:val="auto"/>
              </w:rPr>
              <w:t>Net deferred tax assets</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93.2</w:t>
            </w:r>
          </w:p>
        </w:tc>
        <w:tc>
          <w:tcPr>
            <w:tcW w:w="240" w:type="dxa"/>
            <w:vAlign w:val="bottom"/>
            <w:shd w:val="clear" w:color="auto" w:fill="EEEEEE"/>
          </w:tcPr>
          <w:p>
            <w:pPr>
              <w:spacing w:after="0"/>
              <w:rPr>
                <w:sz w:val="16"/>
                <w:szCs w:val="16"/>
                <w:color w:val="auto"/>
              </w:rPr>
            </w:pPr>
          </w:p>
        </w:tc>
        <w:tc>
          <w:tcPr>
            <w:tcW w:w="580" w:type="dxa"/>
            <w:vAlign w:val="bottom"/>
            <w:gridSpan w:val="2"/>
            <w:shd w:val="clear" w:color="auto" w:fill="EEEEEE"/>
          </w:tcPr>
          <w:p>
            <w:pPr>
              <w:ind w:left="52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108.5</w:t>
            </w:r>
          </w:p>
        </w:tc>
        <w:tc>
          <w:tcPr>
            <w:tcW w:w="3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-34925</wp:posOffset>
            </wp:positionV>
            <wp:extent cx="12700"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-34925</wp:posOffset>
            </wp:positionV>
            <wp:extent cx="12700"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-34925</wp:posOffset>
            </wp:positionV>
            <wp:extent cx="12700"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5704840</wp:posOffset>
            </wp:positionH>
            <wp:positionV relativeFrom="paragraph">
              <wp:posOffset>-34925</wp:posOffset>
            </wp:positionV>
            <wp:extent cx="12700"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right="300" w:firstLine="286"/>
        <w:spacing w:after="0" w:line="336" w:lineRule="auto"/>
        <w:rPr>
          <w:sz w:val="20"/>
          <w:szCs w:val="20"/>
          <w:color w:val="auto"/>
        </w:rPr>
      </w:pPr>
      <w:r>
        <w:rPr>
          <w:rFonts w:ascii="Arial" w:cs="Arial" w:eastAsia="Arial" w:hAnsi="Arial"/>
          <w:sz w:val="14"/>
          <w:szCs w:val="14"/>
          <w:color w:val="auto"/>
        </w:rPr>
        <w:t>The Company has net operating loss carry forwards that expire at various dates in the future. The deferred tax asset valuation allowance relates primarily to the operating loss carryforwards in various U.S. states, European and Canadian tax jurisdictions. The increase in valuation allowance is primarily the result of foreign losses not benefited.</w:t>
      </w:r>
    </w:p>
    <w:p>
      <w:pPr>
        <w:spacing w:after="0" w:line="146" w:lineRule="exact"/>
        <w:rPr>
          <w:sz w:val="20"/>
          <w:szCs w:val="20"/>
          <w:color w:val="auto"/>
        </w:rPr>
      </w:pPr>
    </w:p>
    <w:p>
      <w:pPr>
        <w:ind w:firstLine="286"/>
        <w:spacing w:after="0" w:line="294"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federal and foreign taxable income of approximately $253.5 million and future state taxable income, a subset of federal income, of approximately $176.0 million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realize the benefits of these deductible differences, net of the existing valuation allowances at December 31, 2003.</w:t>
      </w:r>
    </w:p>
    <w:p>
      <w:pPr>
        <w:spacing w:after="0" w:line="176" w:lineRule="exact"/>
        <w:rPr>
          <w:sz w:val="20"/>
          <w:szCs w:val="20"/>
          <w:color w:val="auto"/>
        </w:rPr>
      </w:pPr>
    </w:p>
    <w:p>
      <w:pPr>
        <w:jc w:val="both"/>
        <w:ind w:right="180" w:firstLine="286"/>
        <w:spacing w:after="0" w:line="256" w:lineRule="auto"/>
        <w:rPr>
          <w:sz w:val="20"/>
          <w:szCs w:val="20"/>
          <w:color w:val="auto"/>
        </w:rPr>
      </w:pPr>
      <w:r>
        <w:rPr>
          <w:rFonts w:ascii="Arial" w:cs="Arial" w:eastAsia="Arial" w:hAnsi="Arial"/>
          <w:sz w:val="16"/>
          <w:szCs w:val="16"/>
          <w:color w:val="auto"/>
        </w:rPr>
        <w:t>No provision has been made for income taxes which may become payable upon distribution of the foreign subsidiaries’ earnings since management considers essentially all of these earnings permanently invested. As of December 31, 2003, the unrecorded deferred tax liability related to the undistributed earnings of the Company’s foreign subsidiaries was insignificant.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60"/>
          </w:cols>
          <w:pgMar w:left="240" w:top="386" w:right="299" w:bottom="1440" w:gutter="0" w:footer="0" w:header="0"/>
        </w:sectPr>
      </w:pPr>
    </w:p>
    <w:bookmarkStart w:id="67" w:name="page68"/>
    <w:bookmarkEnd w:id="67"/>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p>
      <w:pPr>
        <w:ind w:left="565" w:hanging="565"/>
        <w:spacing w:after="0"/>
        <w:tabs>
          <w:tab w:leader="none" w:pos="56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Current Accrued Expenses: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Significant components of current accrued expenses are as follows (in millions):</w:t>
      </w:r>
    </w:p>
    <w:p>
      <w:pPr>
        <w:spacing w:after="0" w:line="385" w:lineRule="exact"/>
        <w:rPr>
          <w:sz w:val="20"/>
          <w:szCs w:val="20"/>
          <w:color w:val="auto"/>
        </w:rPr>
      </w:pPr>
    </w:p>
    <w:tbl>
      <w:tblPr>
        <w:tblLayout w:type="fixed"/>
        <w:tblInd w:w="1725" w:type="dxa"/>
        <w:tblCellMar>
          <w:top w:w="0" w:type="dxa"/>
          <w:left w:w="0" w:type="dxa"/>
          <w:bottom w:w="0" w:type="dxa"/>
          <w:right w:w="0" w:type="dxa"/>
        </w:tblCellMar>
      </w:tblPr>
      <w:tr>
        <w:trPr>
          <w:trHeight w:val="154"/>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w w:val="92"/>
              </w:rPr>
              <w:t>December 31,</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83"/>
        </w:trPr>
        <w:tc>
          <w:tcPr>
            <w:tcW w:w="57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gridSpan w:val="2"/>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208"/>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ind w:left="320"/>
              <w:spacing w:after="0"/>
              <w:rPr>
                <w:sz w:val="20"/>
                <w:szCs w:val="20"/>
                <w:color w:val="auto"/>
              </w:rPr>
            </w:pPr>
            <w:r>
              <w:rPr>
                <w:rFonts w:ascii="Arial" w:cs="Arial" w:eastAsia="Arial" w:hAnsi="Arial"/>
                <w:sz w:val="12"/>
                <w:szCs w:val="12"/>
                <w:b w:val="1"/>
                <w:bCs w:val="1"/>
                <w:color w:val="auto"/>
              </w:rPr>
              <w:t>Restated</w:t>
            </w:r>
          </w:p>
        </w:tc>
      </w:tr>
      <w:tr>
        <w:trPr>
          <w:trHeight w:val="154"/>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jc w:val="right"/>
              <w:ind w:right="25"/>
              <w:spacing w:after="0"/>
              <w:rPr>
                <w:sz w:val="20"/>
                <w:szCs w:val="20"/>
                <w:color w:val="auto"/>
              </w:rPr>
            </w:pPr>
            <w:r>
              <w:rPr>
                <w:rFonts w:ascii="Arial" w:cs="Arial" w:eastAsia="Arial" w:hAnsi="Arial"/>
                <w:sz w:val="12"/>
                <w:szCs w:val="12"/>
                <w:b w:val="1"/>
                <w:bCs w:val="1"/>
                <w:color w:val="auto"/>
                <w:w w:val="89"/>
              </w:rPr>
              <w:t>2003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97"/>
              </w:rPr>
              <w:t>2002</w:t>
            </w:r>
          </w:p>
        </w:tc>
        <w:tc>
          <w:tcPr>
            <w:tcW w:w="380" w:type="dxa"/>
            <w:vAlign w:val="bottom"/>
          </w:tcPr>
          <w:p>
            <w:pPr>
              <w:spacing w:after="0"/>
              <w:rPr>
                <w:sz w:val="13"/>
                <w:szCs w:val="13"/>
                <w:color w:val="auto"/>
              </w:rPr>
            </w:pPr>
          </w:p>
        </w:tc>
      </w:tr>
      <w:tr>
        <w:trPr>
          <w:trHeight w:val="83"/>
        </w:trPr>
        <w:tc>
          <w:tcPr>
            <w:tcW w:w="57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91"/>
        </w:trPr>
        <w:tc>
          <w:tcPr>
            <w:tcW w:w="5780" w:type="dxa"/>
            <w:vAlign w:val="bottom"/>
            <w:shd w:val="clear" w:color="auto" w:fill="EEEEEE"/>
          </w:tcPr>
          <w:p>
            <w:pPr>
              <w:spacing w:after="0"/>
              <w:rPr>
                <w:sz w:val="20"/>
                <w:szCs w:val="20"/>
                <w:color w:val="auto"/>
              </w:rPr>
            </w:pPr>
            <w:r>
              <w:rPr>
                <w:rFonts w:ascii="Arial" w:cs="Arial" w:eastAsia="Arial" w:hAnsi="Arial"/>
                <w:sz w:val="16"/>
                <w:szCs w:val="16"/>
                <w:color w:val="auto"/>
              </w:rPr>
              <w:t>Accrued wages</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86.3</w:t>
            </w:r>
          </w:p>
        </w:tc>
        <w:tc>
          <w:tcPr>
            <w:tcW w:w="840" w:type="dxa"/>
            <w:vAlign w:val="bottom"/>
            <w:gridSpan w:val="4"/>
            <w:shd w:val="clear" w:color="auto" w:fill="EEEEEE"/>
          </w:tcPr>
          <w:p>
            <w:pPr>
              <w:ind w:left="7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85.9</w:t>
            </w:r>
          </w:p>
        </w:tc>
        <w:tc>
          <w:tcPr>
            <w:tcW w:w="380" w:type="dxa"/>
            <w:vAlign w:val="bottom"/>
            <w:shd w:val="clear" w:color="auto" w:fill="EEEEEE"/>
          </w:tcPr>
          <w:p>
            <w:pPr>
              <w:spacing w:after="0"/>
              <w:rPr>
                <w:sz w:val="16"/>
                <w:szCs w:val="16"/>
                <w:color w:val="auto"/>
              </w:rPr>
            </w:pPr>
          </w:p>
        </w:tc>
      </w:tr>
      <w:tr>
        <w:trPr>
          <w:trHeight w:val="191"/>
        </w:trPr>
        <w:tc>
          <w:tcPr>
            <w:tcW w:w="5780" w:type="dxa"/>
            <w:vAlign w:val="bottom"/>
          </w:tcPr>
          <w:p>
            <w:pPr>
              <w:spacing w:after="0"/>
              <w:rPr>
                <w:sz w:val="20"/>
                <w:szCs w:val="20"/>
                <w:color w:val="auto"/>
              </w:rPr>
            </w:pPr>
            <w:r>
              <w:rPr>
                <w:rFonts w:ascii="Arial" w:cs="Arial" w:eastAsia="Arial" w:hAnsi="Arial"/>
                <w:sz w:val="16"/>
                <w:szCs w:val="16"/>
                <w:color w:val="auto"/>
              </w:rPr>
              <w:t>Casualty insurance reserves</w:t>
            </w: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51.8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48.2</w:t>
            </w:r>
          </w:p>
        </w:tc>
        <w:tc>
          <w:tcPr>
            <w:tcW w:w="380" w:type="dxa"/>
            <w:vAlign w:val="bottom"/>
          </w:tcPr>
          <w:p>
            <w:pPr>
              <w:spacing w:after="0"/>
              <w:rPr>
                <w:sz w:val="16"/>
                <w:szCs w:val="16"/>
                <w:color w:val="auto"/>
              </w:rPr>
            </w:pPr>
          </w:p>
        </w:tc>
      </w:tr>
      <w:tr>
        <w:trPr>
          <w:trHeight w:val="191"/>
        </w:trPr>
        <w:tc>
          <w:tcPr>
            <w:tcW w:w="5780" w:type="dxa"/>
            <w:vAlign w:val="bottom"/>
            <w:shd w:val="clear" w:color="auto" w:fill="EEEEEE"/>
          </w:tcPr>
          <w:p>
            <w:pPr>
              <w:spacing w:after="0"/>
              <w:rPr>
                <w:sz w:val="20"/>
                <w:szCs w:val="20"/>
                <w:color w:val="auto"/>
              </w:rPr>
            </w:pPr>
            <w:r>
              <w:rPr>
                <w:rFonts w:ascii="Arial" w:cs="Arial" w:eastAsia="Arial" w:hAnsi="Arial"/>
                <w:sz w:val="16"/>
                <w:szCs w:val="16"/>
                <w:color w:val="auto"/>
              </w:rPr>
              <w:t>Deferred income on service contracts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30.5</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27.4</w:t>
            </w:r>
          </w:p>
        </w:tc>
        <w:tc>
          <w:tcPr>
            <w:tcW w:w="380" w:type="dxa"/>
            <w:vAlign w:val="bottom"/>
            <w:shd w:val="clear" w:color="auto" w:fill="EEEEEE"/>
          </w:tcPr>
          <w:p>
            <w:pPr>
              <w:spacing w:after="0"/>
              <w:rPr>
                <w:sz w:val="16"/>
                <w:szCs w:val="16"/>
                <w:color w:val="auto"/>
              </w:rPr>
            </w:pPr>
          </w:p>
        </w:tc>
      </w:tr>
      <w:tr>
        <w:trPr>
          <w:trHeight w:val="191"/>
        </w:trPr>
        <w:tc>
          <w:tcPr>
            <w:tcW w:w="5780" w:type="dxa"/>
            <w:vAlign w:val="bottom"/>
          </w:tcPr>
          <w:p>
            <w:pPr>
              <w:spacing w:after="0"/>
              <w:rPr>
                <w:sz w:val="20"/>
                <w:szCs w:val="20"/>
                <w:color w:val="auto"/>
              </w:rPr>
            </w:pPr>
            <w:r>
              <w:rPr>
                <w:rFonts w:ascii="Arial" w:cs="Arial" w:eastAsia="Arial" w:hAnsi="Arial"/>
                <w:sz w:val="16"/>
                <w:szCs w:val="16"/>
                <w:color w:val="auto"/>
              </w:rPr>
              <w:t>Accrued warranties</w:t>
            </w: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28.1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Pr>
          <w:p>
            <w:pPr>
              <w:spacing w:after="0"/>
              <w:rPr>
                <w:sz w:val="16"/>
                <w:szCs w:val="16"/>
                <w:color w:val="auto"/>
              </w:rPr>
            </w:pPr>
          </w:p>
        </w:tc>
      </w:tr>
      <w:tr>
        <w:trPr>
          <w:trHeight w:val="191"/>
        </w:trPr>
        <w:tc>
          <w:tcPr>
            <w:tcW w:w="5780" w:type="dxa"/>
            <w:vAlign w:val="bottom"/>
            <w:shd w:val="clear" w:color="auto" w:fill="EEEEEE"/>
          </w:tcPr>
          <w:p>
            <w:pPr>
              <w:spacing w:after="0"/>
              <w:rPr>
                <w:sz w:val="20"/>
                <w:szCs w:val="20"/>
                <w:color w:val="auto"/>
              </w:rPr>
            </w:pPr>
            <w:r>
              <w:rPr>
                <w:rFonts w:ascii="Arial" w:cs="Arial" w:eastAsia="Arial" w:hAnsi="Arial"/>
                <w:sz w:val="16"/>
                <w:szCs w:val="16"/>
                <w:color w:val="auto"/>
              </w:rPr>
              <w:t>Accrued promotions</w:t>
            </w: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16.4</w:t>
            </w:r>
          </w:p>
        </w:tc>
        <w:tc>
          <w:tcPr>
            <w:tcW w:w="380" w:type="dxa"/>
            <w:vAlign w:val="bottom"/>
            <w:shd w:val="clear" w:color="auto" w:fill="EEEEEE"/>
          </w:tcPr>
          <w:p>
            <w:pPr>
              <w:spacing w:after="0"/>
              <w:rPr>
                <w:sz w:val="16"/>
                <w:szCs w:val="16"/>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53.3</w:t>
            </w:r>
          </w:p>
        </w:tc>
        <w:tc>
          <w:tcPr>
            <w:tcW w:w="380" w:type="dxa"/>
            <w:vAlign w:val="bottom"/>
          </w:tcPr>
          <w:p>
            <w:pPr>
              <w:spacing w:after="0"/>
              <w:rPr>
                <w:sz w:val="17"/>
                <w:szCs w:val="17"/>
                <w:color w:val="auto"/>
              </w:rPr>
            </w:pPr>
          </w:p>
        </w:tc>
      </w:tr>
      <w:tr>
        <w:trPr>
          <w:trHeight w:val="90"/>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r>
      <w:tr>
        <w:trPr>
          <w:trHeight w:val="87"/>
        </w:trPr>
        <w:tc>
          <w:tcPr>
            <w:tcW w:w="5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91"/>
        </w:trPr>
        <w:tc>
          <w:tcPr>
            <w:tcW w:w="57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Total current accrued expenses</w:t>
            </w:r>
          </w:p>
        </w:tc>
        <w:tc>
          <w:tcPr>
            <w:tcW w:w="3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292.1</w:t>
            </w:r>
          </w:p>
        </w:tc>
        <w:tc>
          <w:tcPr>
            <w:tcW w:w="820" w:type="dxa"/>
            <w:vAlign w:val="bottom"/>
            <w:gridSpan w:val="3"/>
            <w:shd w:val="clear" w:color="auto" w:fill="EEEEEE"/>
          </w:tcPr>
          <w:p>
            <w:pPr>
              <w:ind w:left="76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257.1</w:t>
            </w:r>
          </w:p>
        </w:tc>
        <w:tc>
          <w:tcPr>
            <w:tcW w:w="380" w:type="dxa"/>
            <w:vAlign w:val="bottom"/>
            <w:shd w:val="clear" w:color="auto" w:fill="EEEEEE"/>
          </w:tcPr>
          <w:p>
            <w:pPr>
              <w:spacing w:after="0"/>
              <w:rPr>
                <w:sz w:val="16"/>
                <w:szCs w:val="16"/>
                <w:color w:val="auto"/>
              </w:rPr>
            </w:pPr>
          </w:p>
        </w:tc>
      </w:tr>
      <w:tr>
        <w:trPr>
          <w:trHeight w:val="127"/>
        </w:trPr>
        <w:tc>
          <w:tcPr>
            <w:tcW w:w="5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5177155</wp:posOffset>
            </wp:positionH>
            <wp:positionV relativeFrom="paragraph">
              <wp:posOffset>-34925</wp:posOffset>
            </wp:positionV>
            <wp:extent cx="12700"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-34925</wp:posOffset>
            </wp:positionV>
            <wp:extent cx="12700"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5927090</wp:posOffset>
            </wp:positionH>
            <wp:positionV relativeFrom="paragraph">
              <wp:posOffset>-34925</wp:posOffset>
            </wp:positionV>
            <wp:extent cx="12700"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-34925</wp:posOffset>
            </wp:positionV>
            <wp:extent cx="12700"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3" w:lineRule="exact"/>
        <w:rPr>
          <w:sz w:val="20"/>
          <w:szCs w:val="20"/>
          <w:color w:val="auto"/>
        </w:rPr>
      </w:pPr>
    </w:p>
    <w:p>
      <w:pPr>
        <w:ind w:left="565" w:hanging="565"/>
        <w:spacing w:after="0"/>
        <w:tabs>
          <w:tab w:leader="none" w:pos="56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2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Profit Sharing Plans</w:t>
      </w:r>
    </w:p>
    <w:p>
      <w:pPr>
        <w:spacing w:after="0" w:line="222" w:lineRule="exact"/>
        <w:rPr>
          <w:sz w:val="20"/>
          <w:szCs w:val="20"/>
          <w:color w:val="auto"/>
        </w:rPr>
      </w:pPr>
    </w:p>
    <w:p>
      <w:pPr>
        <w:ind w:left="5" w:firstLine="286"/>
        <w:spacing w:after="0" w:line="310" w:lineRule="auto"/>
        <w:rPr>
          <w:sz w:val="20"/>
          <w:szCs w:val="20"/>
          <w:color w:val="auto"/>
        </w:rPr>
      </w:pPr>
      <w:r>
        <w:rPr>
          <w:rFonts w:ascii="Arial" w:cs="Arial" w:eastAsia="Arial" w:hAnsi="Arial"/>
          <w:sz w:val="14"/>
          <w:szCs w:val="14"/>
          <w:color w:val="auto"/>
        </w:rPr>
        <w:t>The Company maintains noncontributory profit sharing plans for its eligible domestic salaried employees. These plans are discretionary as the Company’s contributions are determined annually by the Board of Directors. Provisions for contributions to the plans amounted to $8.5 million, $7.0 million and $5.0 million in 2003, 2002 and 2001, respectively. The Company also sponsors several 401(k) plans with employer contribution-matching requirements. The Company contributed $2.5 million to these 401(k) plans in 2003 and in 2002.</w:t>
      </w:r>
    </w:p>
    <w:p>
      <w:pPr>
        <w:spacing w:after="0" w:line="354"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Employee Benefits Trust</w:t>
      </w:r>
    </w:p>
    <w:p>
      <w:pPr>
        <w:spacing w:after="0" w:line="222" w:lineRule="exact"/>
        <w:rPr>
          <w:sz w:val="20"/>
          <w:szCs w:val="20"/>
          <w:color w:val="auto"/>
        </w:rPr>
      </w:pPr>
    </w:p>
    <w:p>
      <w:pPr>
        <w:ind w:left="5" w:right="160" w:firstLine="286"/>
        <w:spacing w:after="0" w:line="264" w:lineRule="auto"/>
        <w:rPr>
          <w:sz w:val="20"/>
          <w:szCs w:val="20"/>
          <w:color w:val="auto"/>
        </w:rPr>
      </w:pPr>
      <w:r>
        <w:rPr>
          <w:rFonts w:ascii="Arial" w:cs="Arial" w:eastAsia="Arial" w:hAnsi="Arial"/>
          <w:sz w:val="16"/>
          <w:szCs w:val="16"/>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382"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222" w:lineRule="exact"/>
        <w:rPr>
          <w:sz w:val="20"/>
          <w:szCs w:val="20"/>
          <w:color w:val="auto"/>
        </w:rPr>
      </w:pPr>
    </w:p>
    <w:p>
      <w:pPr>
        <w:ind w:left="5" w:right="20" w:firstLine="286"/>
        <w:spacing w:after="0" w:line="310" w:lineRule="auto"/>
        <w:rPr>
          <w:sz w:val="20"/>
          <w:szCs w:val="20"/>
          <w:color w:val="auto"/>
        </w:rPr>
      </w:pPr>
      <w:r>
        <w:rPr>
          <w:rFonts w:ascii="Arial" w:cs="Arial" w:eastAsia="Arial" w:hAnsi="Arial"/>
          <w:sz w:val="14"/>
          <w:szCs w:val="14"/>
          <w:color w:val="auto"/>
        </w:rPr>
        <w:t>The Company’s employee stock purchase plan, which was terminated as of December 31, 2003, had 2,575,000 shares of Common Stock reserved. The shares were offered for sale to employees only, through payroll deductions, at prices equal to 85% of the lesser of the fair market value of the Company’s Common Stock on the first day of the offering period or the last day of the offering period. Under the plan, participating employees purchased 508,380, 516,580 and 676,660 shares in 2003, 2002 and 2001, respectively.</w:t>
      </w:r>
    </w:p>
    <w:p>
      <w:pPr>
        <w:spacing w:after="0" w:line="139" w:lineRule="exact"/>
        <w:rPr>
          <w:sz w:val="20"/>
          <w:szCs w:val="20"/>
          <w:color w:val="auto"/>
        </w:rPr>
      </w:pPr>
    </w:p>
    <w:p>
      <w:pPr>
        <w:ind w:left="185"/>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222" w:lineRule="exact"/>
        <w:rPr>
          <w:sz w:val="20"/>
          <w:szCs w:val="20"/>
          <w:color w:val="auto"/>
        </w:rPr>
      </w:pPr>
    </w:p>
    <w:p>
      <w:pPr>
        <w:ind w:left="5" w:right="140" w:firstLine="286"/>
        <w:spacing w:after="0" w:line="294" w:lineRule="auto"/>
        <w:rPr>
          <w:sz w:val="20"/>
          <w:szCs w:val="20"/>
          <w:color w:val="auto"/>
        </w:rPr>
      </w:pPr>
      <w:r>
        <w:rPr>
          <w:rFonts w:ascii="Arial" w:cs="Arial" w:eastAsia="Arial" w:hAnsi="Arial"/>
          <w:sz w:val="14"/>
          <w:szCs w:val="14"/>
          <w:color w:val="auto"/>
        </w:rPr>
        <w:t>The Company has domestic and foreign pension plans covering essentially all employees. The Company also maintains an unfunded postretirement benefit plan that provides certain medical and life insurance benefits to eligible employees. The pension plans are accounted for under provisions of SFAS No. 87, “Employers’ Accounting for Pensions.” The postretirement benefit plan is accounted for under the provisions of SFAS No. 106, “Employers’ Accounting for Postretirement Benefits Other than Pensions.” In December 2003, the Medicare Prescription Drug, Improvement and Modernization Act of 2003 (“the Act”) was signed into law. The Act introduces a prescription drug benefit under Medicare (Medicare Part D) as well as a federal subsidy to sponsors of retiree health care benefit plans that provide a benefit that is at least actuarially equivalent to Medicare Part D. In January 2004, Financial Accounting Standards Board Staff Position No.</w:t>
      </w:r>
    </w:p>
    <w:p>
      <w:pPr>
        <w:spacing w:after="0" w:line="152"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160"/>
        <w:spacing w:after="0" w:line="301" w:lineRule="auto"/>
        <w:rPr>
          <w:sz w:val="20"/>
          <w:szCs w:val="20"/>
          <w:color w:val="auto"/>
        </w:rPr>
      </w:pPr>
      <w:r>
        <w:rPr>
          <w:rFonts w:ascii="Arial" w:cs="Arial" w:eastAsia="Arial" w:hAnsi="Arial"/>
          <w:sz w:val="14"/>
          <w:szCs w:val="14"/>
          <w:color w:val="auto"/>
        </w:rPr>
        <w:t>FAS 106-1, “Accounting and Disclosure Requirements Related to the Medicare Prescription Drug, Improvement and Modernization Act of 2003” was issued and it permits a sponsor of a postretirement health care plan that provides a prescription drug benefit to make a one-time election to defer accounting for the effects of the Act. The Company has elected to make this deferral as the specific authoritative guidance on the accounting for the federal subsidy is pending. Therefore, the accumulated postretirement benefit obligation and net postretirement benefit costs in the financial statements and footnote do not reflect the effects of the Act on the plan.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amounts recognized in the Company’s financial statements and the plans’ funded status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5"/>
          </w:tcPr>
          <w:p>
            <w:pPr>
              <w:jc w:val="right"/>
              <w:spacing w:after="0"/>
              <w:rPr>
                <w:sz w:val="20"/>
                <w:szCs w:val="20"/>
                <w:color w:val="auto"/>
              </w:rPr>
            </w:pPr>
            <w:r>
              <w:rPr>
                <w:rFonts w:ascii="Arial" w:cs="Arial" w:eastAsia="Arial" w:hAnsi="Arial"/>
                <w:sz w:val="12"/>
                <w:szCs w:val="12"/>
                <w:b w:val="1"/>
                <w:bCs w:val="1"/>
                <w:color w:val="auto"/>
              </w:rPr>
              <w:t>Pension Benefits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2"/>
                <w:szCs w:val="12"/>
                <w:b w:val="1"/>
                <w:bCs w:val="1"/>
                <w:color w:val="auto"/>
              </w:rPr>
              <w:t>Other Benefits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5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2003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2002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24"/>
              <w:spacing w:after="0"/>
              <w:rPr>
                <w:sz w:val="20"/>
                <w:szCs w:val="20"/>
                <w:color w:val="auto"/>
              </w:rPr>
            </w:pPr>
            <w:r>
              <w:rPr>
                <w:rFonts w:ascii="Arial" w:cs="Arial" w:eastAsia="Arial" w:hAnsi="Arial"/>
                <w:sz w:val="12"/>
                <w:szCs w:val="12"/>
                <w:b w:val="1"/>
                <w:bCs w:val="1"/>
                <w:color w:val="auto"/>
                <w:w w:val="82"/>
              </w:rPr>
              <w:t>2003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97"/>
              </w:rPr>
              <w:t>2002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6"/>
                <w:szCs w:val="16"/>
                <w:color w:val="auto"/>
              </w:rPr>
              <w:t>Accumulated benefit obligation</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214.9</w:t>
            </w: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185.2</w:t>
            </w:r>
          </w:p>
        </w:tc>
        <w:tc>
          <w:tcPr>
            <w:tcW w:w="26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N/A</w:t>
            </w: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N/A</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Changes in projected benefit obligation:</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Benefit obligation at beginning of year</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191.5</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163.3</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23.4</w:t>
            </w: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6"/>
              </w:rPr>
              <w:t>20.6</w:t>
            </w:r>
          </w:p>
        </w:tc>
        <w:tc>
          <w:tcPr>
            <w:tcW w:w="2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Service cost</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Interest cost</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12.7</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11.8</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Plan participants’ contributions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Amendments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(7.2)</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Actuarial loss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Benefits paid</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0"/>
              </w:rPr>
              <w:t>(10.6)</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0"/>
              </w:rPr>
              <w:t>(10.8)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(4.4)</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0" w:type="dxa"/>
            <w:vAlign w:val="bottom"/>
          </w:tcPr>
          <w:p>
            <w:pPr>
              <w:spacing w:after="0"/>
              <w:rPr>
                <w:sz w:val="24"/>
                <w:szCs w:val="24"/>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Benefit obligation at end of year</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220.2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191.5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23.4</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6"/>
                <w:szCs w:val="16"/>
                <w:color w:val="auto"/>
              </w:rPr>
              <w:t>Changes in plan assets: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Fair value of plan assets at beginning of year</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133.3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143.4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Actual return on plan assets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23.2</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0"/>
              </w:rPr>
              <w:t>(14.0)</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Employer contribution</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Plan participants’ contributions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Foreign currency changes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Benefits paid</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(9.1)</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(9.0)</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(4.4)</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0" w:type="dxa"/>
            <w:vAlign w:val="bottom"/>
          </w:tcPr>
          <w:p>
            <w:pPr>
              <w:spacing w:after="0"/>
              <w:rPr>
                <w:sz w:val="24"/>
                <w:szCs w:val="24"/>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Fair value of plan assets at end of year</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159.2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133.3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6"/>
                <w:szCs w:val="16"/>
                <w:color w:val="auto"/>
              </w:rPr>
              <w:t>Funded status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0"/>
              </w:rPr>
              <w:t>(61.0)</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0"/>
              </w:rPr>
              <w:t>(58.2)</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w w:val="90"/>
              </w:rPr>
              <w:t>(24.3)</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86"/>
              </w:rPr>
              <w:t>(23.4)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Unrecognized actuarial loss</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76.2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68.5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16.8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Unamortized prior service cost</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11.8</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(7.7)</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Unrecognized net obligation</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6"/>
                <w:szCs w:val="16"/>
                <w:color w:val="auto"/>
              </w:rPr>
              <w:t>Net amount recognized</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27.1</w:t>
            </w: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21.5</w:t>
            </w:r>
          </w:p>
        </w:tc>
        <w:tc>
          <w:tcPr>
            <w:tcW w:w="26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w w:val="90"/>
              </w:rPr>
              <w:t>(15.2)</w:t>
            </w: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86"/>
              </w:rPr>
              <w:t>(14.9)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160" w:type="dxa"/>
            <w:vAlign w:val="bottom"/>
            <w:gridSpan w:val="2"/>
            <w:vMerge w:val="restart"/>
          </w:tcPr>
          <w:p>
            <w:pPr>
              <w:ind w:left="560"/>
              <w:spacing w:after="0"/>
              <w:rPr>
                <w:sz w:val="20"/>
                <w:szCs w:val="20"/>
                <w:color w:val="auto"/>
              </w:rPr>
            </w:pPr>
            <w:r>
              <w:rPr>
                <w:rFonts w:ascii="Arial" w:cs="Arial" w:eastAsia="Arial" w:hAnsi="Arial"/>
                <w:sz w:val="16"/>
                <w:szCs w:val="16"/>
                <w:color w:val="auto"/>
                <w:w w:val="96"/>
              </w:rPr>
              <w:t>Amounts recognized in the consolidated balance sheets consist of:</w:t>
            </w: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51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Prepaid benefit cost</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44.4</w:t>
            </w: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35.7</w:t>
            </w:r>
          </w:p>
        </w:tc>
        <w:tc>
          <w:tcPr>
            <w:tcW w:w="26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Accrued benefit liability</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(94.1)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w w:val="90"/>
              </w:rPr>
              <w:t>(85.4)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(15.2)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(14.9)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Intangible assets</w:t>
            </w:r>
          </w:p>
        </w:tc>
        <w:tc>
          <w:tcPr>
            <w:tcW w:w="13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11.6</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59.2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4600" w:type="dxa"/>
            <w:vAlign w:val="bottom"/>
            <w:shd w:val="clear" w:color="auto" w:fill="EEEEEE"/>
          </w:tcPr>
          <w:p>
            <w:pPr>
              <w:ind w:left="280"/>
              <w:spacing w:after="0"/>
              <w:rPr>
                <w:sz w:val="20"/>
                <w:szCs w:val="20"/>
                <w:color w:val="auto"/>
              </w:rPr>
            </w:pPr>
            <w:r>
              <w:rPr>
                <w:rFonts w:ascii="Arial" w:cs="Arial" w:eastAsia="Arial" w:hAnsi="Arial"/>
                <w:sz w:val="16"/>
                <w:szCs w:val="16"/>
                <w:color w:val="auto"/>
              </w:rPr>
              <w:t>Net amount recognized</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27.1</w:t>
            </w: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21.5</w:t>
            </w:r>
          </w:p>
        </w:tc>
        <w:tc>
          <w:tcPr>
            <w:tcW w:w="26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w w:val="90"/>
              </w:rPr>
              <w:t>(15.2)</w:t>
            </w: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86"/>
              </w:rPr>
              <w:t>(14.9)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360" w:type="dxa"/>
            <w:vAlign w:val="bottom"/>
            <w:vMerge w:val="restart"/>
          </w:tcPr>
          <w:p>
            <w:pPr>
              <w:jc w:val="right"/>
              <w:ind w:right="642"/>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460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-1481455</wp:posOffset>
            </wp:positionV>
            <wp:extent cx="12700"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-1481455</wp:posOffset>
            </wp:positionV>
            <wp:extent cx="12700"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-1481455</wp:posOffset>
            </wp:positionV>
            <wp:extent cx="12700"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-1481455</wp:posOffset>
            </wp:positionV>
            <wp:extent cx="12700"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-1481455</wp:posOffset>
            </wp:positionV>
            <wp:extent cx="12700"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5818505</wp:posOffset>
            </wp:positionH>
            <wp:positionV relativeFrom="paragraph">
              <wp:posOffset>-1481455</wp:posOffset>
            </wp:positionV>
            <wp:extent cx="12700"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-1481455</wp:posOffset>
            </wp:positionV>
            <wp:extent cx="12700"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-1481455</wp:posOffset>
            </wp:positionV>
            <wp:extent cx="12700"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-473710</wp:posOffset>
            </wp:positionV>
            <wp:extent cx="12700"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4311015</wp:posOffset>
            </wp:positionH>
            <wp:positionV relativeFrom="paragraph">
              <wp:posOffset>-473710</wp:posOffset>
            </wp:positionV>
            <wp:extent cx="12700"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-473710</wp:posOffset>
            </wp:positionV>
            <wp:extent cx="12700"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-473710</wp:posOffset>
            </wp:positionV>
            <wp:extent cx="12700" cy="35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-473710</wp:posOffset>
            </wp:positionV>
            <wp:extent cx="12700" cy="35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5818505</wp:posOffset>
            </wp:positionH>
            <wp:positionV relativeFrom="paragraph">
              <wp:posOffset>-473710</wp:posOffset>
            </wp:positionV>
            <wp:extent cx="12700"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-473710</wp:posOffset>
            </wp:positionV>
            <wp:extent cx="12700" cy="355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6507480</wp:posOffset>
            </wp:positionH>
            <wp:positionV relativeFrom="paragraph">
              <wp:posOffset>-473710</wp:posOffset>
            </wp:positionV>
            <wp:extent cx="12700"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1920" w:type="dxa"/>
            <w:vAlign w:val="bottom"/>
            <w:gridSpan w:val="3"/>
          </w:tcPr>
          <w:p>
            <w:pPr>
              <w:jc w:val="right"/>
              <w:ind w:right="620"/>
              <w:spacing w:after="0"/>
              <w:rPr>
                <w:sz w:val="20"/>
                <w:szCs w:val="20"/>
                <w:color w:val="auto"/>
              </w:rPr>
            </w:pPr>
            <w:r>
              <w:rPr>
                <w:rFonts w:ascii="Arial" w:cs="Arial" w:eastAsia="Arial" w:hAnsi="Arial"/>
                <w:sz w:val="12"/>
                <w:szCs w:val="12"/>
                <w:b w:val="1"/>
                <w:bCs w:val="1"/>
                <w:color w:val="auto"/>
              </w:rPr>
              <w:t>December 31,</w:t>
            </w:r>
          </w:p>
        </w:tc>
      </w:tr>
      <w:tr>
        <w:trPr>
          <w:trHeight w:val="83"/>
        </w:trPr>
        <w:tc>
          <w:tcPr>
            <w:tcW w:w="608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231"/>
        </w:trPr>
        <w:tc>
          <w:tcPr>
            <w:tcW w:w="60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2"/>
                <w:szCs w:val="12"/>
                <w:b w:val="1"/>
                <w:bCs w:val="1"/>
                <w:color w:val="auto"/>
              </w:rPr>
              <w:t>2003</w:t>
            </w:r>
          </w:p>
        </w:tc>
        <w:tc>
          <w:tcPr>
            <w:tcW w:w="104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2002</w:t>
            </w:r>
          </w:p>
        </w:tc>
      </w:tr>
      <w:tr>
        <w:trPr>
          <w:trHeight w:val="83"/>
        </w:trPr>
        <w:tc>
          <w:tcPr>
            <w:tcW w:w="608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87"/>
        </w:trPr>
        <w:tc>
          <w:tcPr>
            <w:tcW w:w="6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91"/>
        </w:trPr>
        <w:tc>
          <w:tcPr>
            <w:tcW w:w="60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Pension plans with an accumulated benefit obligation in excess of plan assets:</w:t>
            </w:r>
          </w:p>
        </w:tc>
        <w:tc>
          <w:tcPr>
            <w:tcW w:w="8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r>
      <w:tr>
        <w:trPr>
          <w:trHeight w:val="191"/>
        </w:trPr>
        <w:tc>
          <w:tcPr>
            <w:tcW w:w="6080" w:type="dxa"/>
            <w:vAlign w:val="bottom"/>
          </w:tcPr>
          <w:p>
            <w:pPr>
              <w:ind w:left="200"/>
              <w:spacing w:after="0"/>
              <w:rPr>
                <w:sz w:val="20"/>
                <w:szCs w:val="20"/>
                <w:color w:val="auto"/>
              </w:rPr>
            </w:pPr>
            <w:r>
              <w:rPr>
                <w:rFonts w:ascii="Arial" w:cs="Arial" w:eastAsia="Arial" w:hAnsi="Arial"/>
                <w:sz w:val="16"/>
                <w:szCs w:val="16"/>
                <w:color w:val="auto"/>
              </w:rPr>
              <w:t>Projected benefit obligation</w:t>
            </w:r>
          </w:p>
        </w:tc>
        <w:tc>
          <w:tcPr>
            <w:tcW w:w="880" w:type="dxa"/>
            <w:vAlign w:val="bottom"/>
          </w:tcPr>
          <w:p>
            <w:pPr>
              <w:jc w:val="right"/>
              <w:ind w:right="150"/>
              <w:spacing w:after="0"/>
              <w:rPr>
                <w:sz w:val="20"/>
                <w:szCs w:val="20"/>
                <w:color w:val="auto"/>
              </w:rPr>
            </w:pPr>
            <w:r>
              <w:rPr>
                <w:rFonts w:ascii="Arial" w:cs="Arial" w:eastAsia="Arial" w:hAnsi="Arial"/>
                <w:sz w:val="16"/>
                <w:szCs w:val="16"/>
                <w:color w:val="auto"/>
              </w:rPr>
              <w:t>$208.7</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$186.6</w:t>
            </w:r>
          </w:p>
        </w:tc>
      </w:tr>
      <w:tr>
        <w:trPr>
          <w:trHeight w:val="191"/>
        </w:trPr>
        <w:tc>
          <w:tcPr>
            <w:tcW w:w="6080" w:type="dxa"/>
            <w:vAlign w:val="bottom"/>
            <w:shd w:val="clear" w:color="auto" w:fill="EEEEEE"/>
          </w:tcPr>
          <w:p>
            <w:pPr>
              <w:ind w:left="200"/>
              <w:spacing w:after="0"/>
              <w:rPr>
                <w:sz w:val="20"/>
                <w:szCs w:val="20"/>
                <w:color w:val="auto"/>
              </w:rPr>
            </w:pPr>
            <w:r>
              <w:rPr>
                <w:rFonts w:ascii="Arial" w:cs="Arial" w:eastAsia="Arial" w:hAnsi="Arial"/>
                <w:sz w:val="16"/>
                <w:szCs w:val="16"/>
                <w:color w:val="auto"/>
              </w:rPr>
              <w:t>Accumulated benefit obligation</w:t>
            </w:r>
          </w:p>
        </w:tc>
        <w:tc>
          <w:tcPr>
            <w:tcW w:w="880" w:type="dxa"/>
            <w:vAlign w:val="bottom"/>
            <w:shd w:val="clear" w:color="auto" w:fill="EEEEEE"/>
          </w:tcPr>
          <w:p>
            <w:pPr>
              <w:jc w:val="right"/>
              <w:ind w:right="150"/>
              <w:spacing w:after="0"/>
              <w:rPr>
                <w:sz w:val="20"/>
                <w:szCs w:val="20"/>
                <w:color w:val="auto"/>
              </w:rPr>
            </w:pPr>
            <w:r>
              <w:rPr>
                <w:rFonts w:ascii="Arial" w:cs="Arial" w:eastAsia="Arial" w:hAnsi="Arial"/>
                <w:sz w:val="16"/>
                <w:szCs w:val="16"/>
                <w:color w:val="auto"/>
              </w:rPr>
              <w:t>203.4</w:t>
            </w:r>
          </w:p>
        </w:tc>
        <w:tc>
          <w:tcPr>
            <w:tcW w:w="10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181.5</w:t>
            </w:r>
          </w:p>
        </w:tc>
      </w:tr>
      <w:tr>
        <w:trPr>
          <w:trHeight w:val="196"/>
        </w:trPr>
        <w:tc>
          <w:tcPr>
            <w:tcW w:w="6080" w:type="dxa"/>
            <w:vAlign w:val="bottom"/>
          </w:tcPr>
          <w:p>
            <w:pPr>
              <w:ind w:left="200"/>
              <w:spacing w:after="0"/>
              <w:rPr>
                <w:sz w:val="20"/>
                <w:szCs w:val="20"/>
                <w:color w:val="auto"/>
              </w:rPr>
            </w:pPr>
            <w:r>
              <w:rPr>
                <w:rFonts w:ascii="Arial" w:cs="Arial" w:eastAsia="Arial" w:hAnsi="Arial"/>
                <w:sz w:val="16"/>
                <w:szCs w:val="16"/>
                <w:color w:val="auto"/>
              </w:rPr>
              <w:t>Fair value of plan assets</w:t>
            </w:r>
          </w:p>
        </w:tc>
        <w:tc>
          <w:tcPr>
            <w:tcW w:w="880" w:type="dxa"/>
            <w:vAlign w:val="bottom"/>
          </w:tcPr>
          <w:p>
            <w:pPr>
              <w:jc w:val="right"/>
              <w:ind w:right="150"/>
              <w:spacing w:after="0"/>
              <w:rPr>
                <w:sz w:val="20"/>
                <w:szCs w:val="20"/>
                <w:color w:val="auto"/>
              </w:rPr>
            </w:pPr>
            <w:r>
              <w:rPr>
                <w:rFonts w:ascii="Arial" w:cs="Arial" w:eastAsia="Arial" w:hAnsi="Arial"/>
                <w:sz w:val="16"/>
                <w:szCs w:val="16"/>
                <w:color w:val="auto"/>
              </w:rPr>
              <w:t>147.4</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128.2</w:t>
            </w:r>
          </w:p>
        </w:tc>
      </w:tr>
    </w:tbl>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5"/>
          </w:tcPr>
          <w:p>
            <w:pPr>
              <w:ind w:left="40"/>
              <w:spacing w:after="0"/>
              <w:rPr>
                <w:sz w:val="20"/>
                <w:szCs w:val="20"/>
                <w:color w:val="auto"/>
              </w:rPr>
            </w:pPr>
            <w:r>
              <w:rPr>
                <w:rFonts w:ascii="Arial" w:cs="Arial" w:eastAsia="Arial" w:hAnsi="Arial"/>
                <w:sz w:val="12"/>
                <w:szCs w:val="12"/>
                <w:b w:val="1"/>
                <w:bCs w:val="1"/>
                <w:color w:val="auto"/>
                <w:w w:val="86"/>
              </w:rPr>
              <w:t>Pension Benefits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9"/>
          </w:tcPr>
          <w:p>
            <w:pPr>
              <w:ind w:left="220"/>
              <w:spacing w:after="0"/>
              <w:rPr>
                <w:sz w:val="20"/>
                <w:szCs w:val="20"/>
                <w:color w:val="auto"/>
              </w:rPr>
            </w:pPr>
            <w:r>
              <w:rPr>
                <w:rFonts w:ascii="Arial" w:cs="Arial" w:eastAsia="Arial" w:hAnsi="Arial"/>
                <w:sz w:val="12"/>
                <w:szCs w:val="12"/>
                <w:b w:val="1"/>
                <w:bCs w:val="1"/>
                <w:color w:val="auto"/>
              </w:rPr>
              <w:t>Other Benefits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jc w:val="right"/>
              <w:ind w:right="24"/>
              <w:spacing w:after="0"/>
              <w:rPr>
                <w:sz w:val="20"/>
                <w:szCs w:val="20"/>
                <w:color w:val="auto"/>
              </w:rPr>
            </w:pPr>
            <w:r>
              <w:rPr>
                <w:rFonts w:ascii="Arial" w:cs="Arial" w:eastAsia="Arial" w:hAnsi="Arial"/>
                <w:sz w:val="12"/>
                <w:szCs w:val="12"/>
                <w:b w:val="1"/>
                <w:bCs w:val="1"/>
                <w:color w:val="auto"/>
                <w:w w:val="82"/>
              </w:rPr>
              <w:t>2003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jc w:val="right"/>
              <w:ind w:right="4"/>
              <w:spacing w:after="0"/>
              <w:rPr>
                <w:sz w:val="20"/>
                <w:szCs w:val="20"/>
                <w:color w:val="auto"/>
              </w:rPr>
            </w:pPr>
            <w:r>
              <w:rPr>
                <w:rFonts w:ascii="Arial" w:cs="Arial" w:eastAsia="Arial" w:hAnsi="Arial"/>
                <w:sz w:val="12"/>
                <w:szCs w:val="12"/>
                <w:b w:val="1"/>
                <w:bCs w:val="1"/>
                <w:color w:val="auto"/>
                <w:w w:val="89"/>
              </w:rPr>
              <w:t>2002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2"/>
              </w:rPr>
              <w:t>2001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2"/>
                <w:szCs w:val="12"/>
                <w:b w:val="1"/>
                <w:bCs w:val="1"/>
                <w:color w:val="auto"/>
              </w:rPr>
              <w:t>2003</w:t>
            </w:r>
          </w:p>
        </w:tc>
        <w:tc>
          <w:tcPr>
            <w:tcW w:w="1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2"/>
                <w:szCs w:val="12"/>
                <w:b w:val="1"/>
                <w:bCs w:val="1"/>
                <w:color w:val="auto"/>
              </w:rPr>
              <w:t>2002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Components of net periodic benefit cost:</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ind w:left="420"/>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$ 0.9</w:t>
            </w: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$ 0.6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w w:val="84"/>
              </w:rPr>
              <w:t>$ 0.5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Interest cost</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12.7</w:t>
            </w: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11.8</w:t>
            </w: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w w:val="96"/>
              </w:rPr>
              <w:t>11.0</w:t>
            </w: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Arial" w:cs="Arial" w:eastAsia="Arial" w:hAnsi="Arial"/>
                <w:sz w:val="16"/>
                <w:szCs w:val="16"/>
                <w:color w:val="auto"/>
              </w:rPr>
              <w:t>Expected return on plan assets</w:t>
            </w:r>
          </w:p>
        </w:tc>
        <w:tc>
          <w:tcPr>
            <w:tcW w:w="2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(14.6)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(15.3)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6"/>
                <w:szCs w:val="16"/>
                <w:color w:val="auto"/>
                <w:w w:val="86"/>
              </w:rPr>
              <w:t>(14.9)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6"/>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0.7</w:t>
            </w: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820" w:type="dxa"/>
            <w:vAlign w:val="bottom"/>
            <w:gridSpan w:val="5"/>
            <w:shd w:val="clear" w:color="auto" w:fill="EEEEEE"/>
          </w:tcPr>
          <w:p>
            <w:pPr>
              <w:jc w:val="right"/>
              <w:ind w:right="140"/>
              <w:spacing w:after="0"/>
              <w:rPr>
                <w:sz w:val="20"/>
                <w:szCs w:val="20"/>
                <w:color w:val="auto"/>
              </w:rPr>
            </w:pPr>
            <w:r>
              <w:rPr>
                <w:rFonts w:ascii="Arial" w:cs="Arial" w:eastAsia="Arial" w:hAnsi="Arial"/>
                <w:sz w:val="16"/>
                <w:szCs w:val="16"/>
                <w:color w:val="auto"/>
              </w:rPr>
              <w:t>(0.3)</w:t>
            </w:r>
          </w:p>
        </w:tc>
        <w:tc>
          <w:tcPr>
            <w:tcW w:w="920" w:type="dxa"/>
            <w:vAlign w:val="bottom"/>
            <w:gridSpan w:val="6"/>
            <w:shd w:val="clear" w:color="auto" w:fill="EEEEEE"/>
          </w:tcPr>
          <w:p>
            <w:pPr>
              <w:jc w:val="right"/>
              <w:ind w:right="140"/>
              <w:spacing w:after="0"/>
              <w:rPr>
                <w:sz w:val="20"/>
                <w:szCs w:val="20"/>
                <w:color w:val="auto"/>
              </w:rPr>
            </w:pPr>
            <w:r>
              <w:rPr>
                <w:rFonts w:ascii="Arial" w:cs="Arial" w:eastAsia="Arial" w:hAnsi="Arial"/>
                <w:sz w:val="16"/>
                <w:szCs w:val="16"/>
                <w:color w:val="auto"/>
              </w:rPr>
              <w:t>(0.1)</w:t>
            </w: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0.1</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Arial" w:cs="Arial" w:eastAsia="Arial" w:hAnsi="Arial"/>
                <w:sz w:val="16"/>
                <w:szCs w:val="16"/>
                <w:color w:val="auto"/>
              </w:rPr>
              <w:t>Recognized actuarial (gain)/loss</w:t>
            </w: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Recognized transition obligation</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440" w:type="dxa"/>
            <w:vAlign w:val="bottom"/>
            <w:gridSpan w:val="3"/>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20" w:type="dxa"/>
            <w:vAlign w:val="bottom"/>
            <w:gridSpan w:val="6"/>
            <w:shd w:val="clear" w:color="auto" w:fill="EEEEEE"/>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EEEEEE"/>
          </w:tcPr>
          <w:p>
            <w:pPr>
              <w:spacing w:after="0"/>
              <w:rPr>
                <w:sz w:val="16"/>
                <w:szCs w:val="16"/>
                <w:color w:val="auto"/>
              </w:rPr>
            </w:pPr>
          </w:p>
        </w:tc>
        <w:tc>
          <w:tcPr>
            <w:tcW w:w="440" w:type="dxa"/>
            <w:vAlign w:val="bottom"/>
            <w:gridSpan w:val="3"/>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ind w:left="240"/>
              <w:spacing w:after="0"/>
              <w:rPr>
                <w:sz w:val="20"/>
                <w:szCs w:val="20"/>
                <w:color w:val="auto"/>
              </w:rPr>
            </w:pPr>
            <w:r>
              <w:rPr>
                <w:rFonts w:ascii="Arial" w:cs="Arial" w:eastAsia="Arial" w:hAnsi="Arial"/>
                <w:sz w:val="16"/>
                <w:szCs w:val="16"/>
                <w:color w:val="auto"/>
              </w:rPr>
              <w:t>Curtailment</w:t>
            </w:r>
          </w:p>
        </w:tc>
        <w:tc>
          <w:tcPr>
            <w:tcW w:w="260" w:type="dxa"/>
            <w:vAlign w:val="bottom"/>
          </w:tcPr>
          <w:p>
            <w:pPr>
              <w:spacing w:after="0"/>
              <w:rPr>
                <w:sz w:val="17"/>
                <w:szCs w:val="17"/>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6"/>
          </w:tcPr>
          <w:p>
            <w:pPr>
              <w:jc w:val="right"/>
              <w:ind w:righ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ind w:left="240"/>
              <w:spacing w:after="0"/>
              <w:rPr>
                <w:sz w:val="20"/>
                <w:szCs w:val="20"/>
                <w:color w:val="auto"/>
              </w:rPr>
            </w:pPr>
            <w:r>
              <w:rPr>
                <w:rFonts w:ascii="Arial" w:cs="Arial" w:eastAsia="Arial" w:hAnsi="Arial"/>
                <w:sz w:val="16"/>
                <w:szCs w:val="16"/>
                <w:color w:val="auto"/>
              </w:rPr>
              <w:t>Net periodic benefit cost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500" w:type="dxa"/>
            <w:vAlign w:val="bottom"/>
            <w:gridSpan w:val="3"/>
            <w:shd w:val="clear" w:color="auto" w:fill="EEEEEE"/>
          </w:tcPr>
          <w:p>
            <w:pPr>
              <w:ind w:left="420"/>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4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$ 2.9</w:t>
            </w:r>
          </w:p>
        </w:tc>
        <w:tc>
          <w:tcPr>
            <w:tcW w:w="180" w:type="dxa"/>
            <w:vAlign w:val="bottom"/>
            <w:shd w:val="clear" w:color="auto" w:fill="EEEEEE"/>
          </w:tcPr>
          <w:p>
            <w:pPr>
              <w:spacing w:after="0"/>
              <w:rPr>
                <w:sz w:val="16"/>
                <w:szCs w:val="16"/>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$ 2.5</w:t>
            </w:r>
          </w:p>
        </w:tc>
        <w:tc>
          <w:tcPr>
            <w:tcW w:w="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34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w w:val="84"/>
              </w:rPr>
              <w:t>$ 1.5</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5"/>
          </w:tcPr>
          <w:p>
            <w:pPr>
              <w:ind w:left="120"/>
              <w:spacing w:after="0"/>
              <w:rPr>
                <w:sz w:val="20"/>
                <w:szCs w:val="20"/>
                <w:color w:val="auto"/>
              </w:rPr>
            </w:pPr>
            <w:r>
              <w:rPr>
                <w:rFonts w:ascii="Arial" w:cs="Arial" w:eastAsia="Arial" w:hAnsi="Arial"/>
                <w:sz w:val="12"/>
                <w:szCs w:val="12"/>
                <w:b w:val="1"/>
                <w:bCs w:val="1"/>
                <w:color w:val="auto"/>
                <w:w w:val="94"/>
              </w:rPr>
              <w:t>Pension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5"/>
          </w:tcPr>
          <w:p>
            <w:pPr>
              <w:ind w:left="100"/>
              <w:spacing w:after="0"/>
              <w:rPr>
                <w:sz w:val="20"/>
                <w:szCs w:val="20"/>
                <w:color w:val="auto"/>
              </w:rPr>
            </w:pPr>
            <w:r>
              <w:rPr>
                <w:rFonts w:ascii="Arial" w:cs="Arial" w:eastAsia="Arial" w:hAnsi="Arial"/>
                <w:sz w:val="12"/>
                <w:szCs w:val="12"/>
                <w:b w:val="1"/>
                <w:bCs w:val="1"/>
                <w:color w:val="auto"/>
                <w:w w:val="97"/>
              </w:rPr>
              <w:t>Benefits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6"/>
          </w:tcPr>
          <w:p>
            <w:pPr>
              <w:ind w:left="60"/>
              <w:spacing w:after="0"/>
              <w:rPr>
                <w:sz w:val="20"/>
                <w:szCs w:val="20"/>
                <w:color w:val="auto"/>
              </w:rPr>
            </w:pPr>
            <w:r>
              <w:rPr>
                <w:rFonts w:ascii="Arial" w:cs="Arial" w:eastAsia="Arial" w:hAnsi="Arial"/>
                <w:sz w:val="12"/>
                <w:szCs w:val="12"/>
                <w:b w:val="1"/>
                <w:bCs w:val="1"/>
                <w:color w:val="auto"/>
                <w:w w:val="89"/>
              </w:rPr>
              <w:t>Other Benefits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808080"/>
            </w:tcBorders>
            <w:gridSpan w:val="4"/>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Arial" w:cs="Arial" w:eastAsia="Arial" w:hAnsi="Arial"/>
                <w:sz w:val="12"/>
                <w:szCs w:val="12"/>
                <w:b w:val="1"/>
                <w:bCs w:val="1"/>
                <w:color w:val="auto"/>
                <w:w w:val="89"/>
              </w:rPr>
              <w:t>2003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rPr>
              <w:t>2002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4"/>
          </w:tcPr>
          <w:p>
            <w:pPr>
              <w:jc w:val="right"/>
              <w:ind w:right="150"/>
              <w:spacing w:after="0"/>
              <w:rPr>
                <w:sz w:val="20"/>
                <w:szCs w:val="20"/>
                <w:color w:val="auto"/>
              </w:rPr>
            </w:pPr>
            <w:r>
              <w:rPr>
                <w:rFonts w:ascii="Arial" w:cs="Arial" w:eastAsia="Arial" w:hAnsi="Arial"/>
                <w:sz w:val="12"/>
                <w:szCs w:val="12"/>
                <w:b w:val="1"/>
                <w:bCs w:val="1"/>
                <w:color w:val="auto"/>
              </w:rPr>
              <w:t>2003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660" w:type="dxa"/>
            <w:vAlign w:val="bottom"/>
            <w:gridSpan w:val="5"/>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660" w:type="dxa"/>
            <w:vAlign w:val="bottom"/>
            <w:gridSpan w:val="5"/>
            <w:shd w:val="clear" w:color="auto" w:fill="EEEEEE"/>
          </w:tcPr>
          <w:p>
            <w:pPr>
              <w:spacing w:after="0"/>
              <w:rPr>
                <w:sz w:val="20"/>
                <w:szCs w:val="20"/>
                <w:color w:val="auto"/>
              </w:rPr>
            </w:pPr>
            <w:r>
              <w:rPr>
                <w:rFonts w:ascii="Arial" w:cs="Arial" w:eastAsia="Arial" w:hAnsi="Arial"/>
                <w:sz w:val="16"/>
                <w:szCs w:val="16"/>
                <w:b w:val="1"/>
                <w:bCs w:val="1"/>
                <w:color w:val="auto"/>
                <w:w w:val="85"/>
              </w:rPr>
              <w:t>Weighted-average assumptions used to determine benefit obligations at December 31:</w:t>
            </w: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Discount rate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4"/>
          </w:tcPr>
          <w:p>
            <w:pPr>
              <w:ind w:left="200"/>
              <w:spacing w:after="0"/>
              <w:rPr>
                <w:sz w:val="20"/>
                <w:szCs w:val="20"/>
                <w:color w:val="auto"/>
              </w:rPr>
            </w:pPr>
            <w:r>
              <w:rPr>
                <w:rFonts w:ascii="Arial" w:cs="Arial" w:eastAsia="Arial" w:hAnsi="Arial"/>
                <w:sz w:val="16"/>
                <w:szCs w:val="16"/>
                <w:color w:val="auto"/>
                <w:w w:val="96"/>
              </w:rPr>
              <w:t>6.00%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ind w:left="60"/>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6.00%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6"/>
                <w:szCs w:val="16"/>
                <w:color w:val="auto"/>
                <w:w w:val="92"/>
              </w:rPr>
              <w:t>6.75%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6"/>
                <w:szCs w:val="16"/>
                <w:color w:val="auto"/>
              </w:rPr>
              <w:t>Rate of compensation increase</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480" w:type="dxa"/>
            <w:vAlign w:val="bottom"/>
            <w:gridSpan w:val="2"/>
            <w:shd w:val="clear" w:color="auto" w:fill="EEEEEE"/>
          </w:tcPr>
          <w:p>
            <w:pPr>
              <w:ind w:left="200"/>
              <w:spacing w:after="0"/>
              <w:rPr>
                <w:sz w:val="20"/>
                <w:szCs w:val="20"/>
                <w:color w:val="auto"/>
              </w:rPr>
            </w:pPr>
            <w:r>
              <w:rPr>
                <w:rFonts w:ascii="Arial" w:cs="Arial" w:eastAsia="Arial" w:hAnsi="Arial"/>
                <w:sz w:val="16"/>
                <w:szCs w:val="16"/>
                <w:color w:val="auto"/>
                <w:w w:val="83"/>
              </w:rPr>
              <w:t>4.00</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380" w:type="dxa"/>
            <w:vAlign w:val="bottom"/>
            <w:gridSpan w:val="2"/>
            <w:shd w:val="clear" w:color="auto" w:fill="EEEEEE"/>
          </w:tcPr>
          <w:p>
            <w:pPr>
              <w:ind w:left="60"/>
              <w:spacing w:after="0"/>
              <w:rPr>
                <w:sz w:val="20"/>
                <w:szCs w:val="20"/>
                <w:color w:val="auto"/>
              </w:rPr>
            </w:pPr>
            <w:r>
              <w:rPr>
                <w:rFonts w:ascii="Arial" w:cs="Arial" w:eastAsia="Arial" w:hAnsi="Arial"/>
                <w:sz w:val="16"/>
                <w:szCs w:val="16"/>
                <w:color w:val="auto"/>
                <w:w w:val="96"/>
              </w:rPr>
              <w:t>4.00</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20" w:type="dxa"/>
            <w:vAlign w:val="bottom"/>
            <w:gridSpan w:val="8"/>
            <w:shd w:val="clear" w:color="auto" w:fill="EEEEEE"/>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shd w:val="clear" w:color="auto" w:fill="EEEEEE"/>
          </w:tcPr>
          <w:p>
            <w:pPr>
              <w:spacing w:after="0"/>
              <w:rPr>
                <w:sz w:val="16"/>
                <w:szCs w:val="16"/>
                <w:color w:val="auto"/>
              </w:rPr>
            </w:pPr>
          </w:p>
        </w:tc>
        <w:tc>
          <w:tcPr>
            <w:tcW w:w="440" w:type="dxa"/>
            <w:vAlign w:val="bottom"/>
            <w:gridSpan w:val="3"/>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5"/>
          </w:tcPr>
          <w:p>
            <w:pPr>
              <w:ind w:left="120"/>
              <w:spacing w:after="0"/>
              <w:rPr>
                <w:sz w:val="20"/>
                <w:szCs w:val="20"/>
                <w:color w:val="auto"/>
              </w:rPr>
            </w:pPr>
            <w:r>
              <w:rPr>
                <w:rFonts w:ascii="Arial" w:cs="Arial" w:eastAsia="Arial" w:hAnsi="Arial"/>
                <w:sz w:val="12"/>
                <w:szCs w:val="12"/>
                <w:b w:val="1"/>
                <w:bCs w:val="1"/>
                <w:color w:val="auto"/>
                <w:w w:val="94"/>
              </w:rPr>
              <w:t>Pension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5"/>
          </w:tcPr>
          <w:p>
            <w:pPr>
              <w:ind w:left="100"/>
              <w:spacing w:after="0"/>
              <w:rPr>
                <w:sz w:val="20"/>
                <w:szCs w:val="20"/>
                <w:color w:val="auto"/>
              </w:rPr>
            </w:pPr>
            <w:r>
              <w:rPr>
                <w:rFonts w:ascii="Arial" w:cs="Arial" w:eastAsia="Arial" w:hAnsi="Arial"/>
                <w:sz w:val="12"/>
                <w:szCs w:val="12"/>
                <w:b w:val="1"/>
                <w:bCs w:val="1"/>
                <w:color w:val="auto"/>
                <w:w w:val="97"/>
              </w:rPr>
              <w:t>Benefits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6"/>
          </w:tcPr>
          <w:p>
            <w:pPr>
              <w:ind w:left="60"/>
              <w:spacing w:after="0"/>
              <w:rPr>
                <w:sz w:val="20"/>
                <w:szCs w:val="20"/>
                <w:color w:val="auto"/>
              </w:rPr>
            </w:pPr>
            <w:r>
              <w:rPr>
                <w:rFonts w:ascii="Arial" w:cs="Arial" w:eastAsia="Arial" w:hAnsi="Arial"/>
                <w:sz w:val="12"/>
                <w:szCs w:val="12"/>
                <w:b w:val="1"/>
                <w:bCs w:val="1"/>
                <w:color w:val="auto"/>
                <w:w w:val="89"/>
              </w:rPr>
              <w:t>Other Benefits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gridSpan w:val="2"/>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Borders>
              <w:bottom w:val="single" w:sz="8" w:color="808080"/>
            </w:tcBorders>
            <w:gridSpan w:val="4"/>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ind w:left="220"/>
              <w:spacing w:after="0"/>
              <w:rPr>
                <w:sz w:val="20"/>
                <w:szCs w:val="20"/>
                <w:color w:val="auto"/>
              </w:rPr>
            </w:pPr>
            <w:r>
              <w:rPr>
                <w:rFonts w:ascii="Arial" w:cs="Arial" w:eastAsia="Arial" w:hAnsi="Arial"/>
                <w:sz w:val="12"/>
                <w:szCs w:val="12"/>
                <w:b w:val="1"/>
                <w:bCs w:val="1"/>
                <w:color w:val="auto"/>
                <w:w w:val="89"/>
              </w:rPr>
              <w:t>2003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2"/>
                <w:szCs w:val="12"/>
                <w:b w:val="1"/>
                <w:bCs w:val="1"/>
                <w:color w:val="auto"/>
              </w:rPr>
              <w:t>2002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4"/>
          </w:tcPr>
          <w:p>
            <w:pPr>
              <w:jc w:val="right"/>
              <w:ind w:right="150"/>
              <w:spacing w:after="0"/>
              <w:rPr>
                <w:sz w:val="20"/>
                <w:szCs w:val="20"/>
                <w:color w:val="auto"/>
              </w:rPr>
            </w:pPr>
            <w:r>
              <w:rPr>
                <w:rFonts w:ascii="Arial" w:cs="Arial" w:eastAsia="Arial" w:hAnsi="Arial"/>
                <w:sz w:val="12"/>
                <w:szCs w:val="12"/>
                <w:b w:val="1"/>
                <w:bCs w:val="1"/>
                <w:color w:val="auto"/>
              </w:rPr>
              <w:t>2003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980" w:type="dxa"/>
            <w:vAlign w:val="bottom"/>
            <w:gridSpan w:val="7"/>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5980" w:type="dxa"/>
            <w:vAlign w:val="bottom"/>
            <w:gridSpan w:val="7"/>
            <w:shd w:val="clear" w:color="auto" w:fill="EEEEEE"/>
          </w:tcPr>
          <w:p>
            <w:pPr>
              <w:spacing w:after="0" w:line="178" w:lineRule="exact"/>
              <w:rPr>
                <w:sz w:val="20"/>
                <w:szCs w:val="20"/>
                <w:color w:val="auto"/>
              </w:rPr>
            </w:pPr>
            <w:r>
              <w:rPr>
                <w:rFonts w:ascii="Arial" w:cs="Arial" w:eastAsia="Arial" w:hAnsi="Arial"/>
                <w:sz w:val="16"/>
                <w:szCs w:val="16"/>
                <w:b w:val="1"/>
                <w:bCs w:val="1"/>
                <w:color w:val="auto"/>
                <w:w w:val="85"/>
              </w:rPr>
              <w:t>Weighted-average assumptions used to determine net periodic benefit cost for years ended</w:t>
            </w:r>
          </w:p>
        </w:tc>
        <w:tc>
          <w:tcPr>
            <w:tcW w:w="3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EEEEEE"/>
          </w:tcPr>
          <w:p>
            <w:pPr>
              <w:ind w:left="1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Discount rate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4"/>
          </w:tcPr>
          <w:p>
            <w:pPr>
              <w:ind w:left="200"/>
              <w:spacing w:after="0"/>
              <w:rPr>
                <w:sz w:val="20"/>
                <w:szCs w:val="20"/>
                <w:color w:val="auto"/>
              </w:rPr>
            </w:pPr>
            <w:r>
              <w:rPr>
                <w:rFonts w:ascii="Arial" w:cs="Arial" w:eastAsia="Arial" w:hAnsi="Arial"/>
                <w:sz w:val="16"/>
                <w:szCs w:val="16"/>
                <w:color w:val="auto"/>
                <w:w w:val="96"/>
              </w:rPr>
              <w:t>6.75%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3"/>
          </w:tcPr>
          <w:p>
            <w:pPr>
              <w:ind w:left="6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6.75%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6"/>
                <w:szCs w:val="16"/>
                <w:color w:val="auto"/>
                <w:w w:val="92"/>
              </w:rPr>
              <w:t>7.50%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6"/>
                <w:szCs w:val="16"/>
                <w:color w:val="auto"/>
              </w:rPr>
              <w:t>Expected long-term return on plan assets</w:t>
            </w: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480" w:type="dxa"/>
            <w:vAlign w:val="bottom"/>
            <w:gridSpan w:val="2"/>
            <w:shd w:val="clear" w:color="auto" w:fill="EEEEEE"/>
          </w:tcPr>
          <w:p>
            <w:pPr>
              <w:ind w:left="200"/>
              <w:spacing w:after="0"/>
              <w:rPr>
                <w:sz w:val="20"/>
                <w:szCs w:val="20"/>
                <w:color w:val="auto"/>
              </w:rPr>
            </w:pPr>
            <w:r>
              <w:rPr>
                <w:rFonts w:ascii="Arial" w:cs="Arial" w:eastAsia="Arial" w:hAnsi="Arial"/>
                <w:sz w:val="16"/>
                <w:szCs w:val="16"/>
                <w:color w:val="auto"/>
                <w:w w:val="83"/>
              </w:rPr>
              <w:t>8.75</w:t>
            </w:r>
          </w:p>
        </w:tc>
        <w:tc>
          <w:tcPr>
            <w:tcW w:w="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380" w:type="dxa"/>
            <w:vAlign w:val="bottom"/>
            <w:gridSpan w:val="2"/>
            <w:shd w:val="clear" w:color="auto" w:fill="EEEEEE"/>
          </w:tcPr>
          <w:p>
            <w:pPr>
              <w:ind w:left="60"/>
              <w:spacing w:after="0"/>
              <w:rPr>
                <w:sz w:val="20"/>
                <w:szCs w:val="20"/>
                <w:color w:val="auto"/>
              </w:rPr>
            </w:pPr>
            <w:r>
              <w:rPr>
                <w:rFonts w:ascii="Arial" w:cs="Arial" w:eastAsia="Arial" w:hAnsi="Arial"/>
                <w:sz w:val="16"/>
                <w:szCs w:val="16"/>
                <w:color w:val="auto"/>
                <w:w w:val="96"/>
              </w:rPr>
              <w:t>9.50</w:t>
            </w:r>
          </w:p>
        </w:tc>
        <w:tc>
          <w:tcPr>
            <w:tcW w:w="16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20" w:type="dxa"/>
            <w:vAlign w:val="bottom"/>
            <w:gridSpan w:val="8"/>
            <w:shd w:val="clear" w:color="auto" w:fill="EEEEEE"/>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shd w:val="clear" w:color="auto" w:fill="EEEEEE"/>
          </w:tcPr>
          <w:p>
            <w:pPr>
              <w:spacing w:after="0"/>
              <w:rPr>
                <w:sz w:val="16"/>
                <w:szCs w:val="16"/>
                <w:color w:val="auto"/>
              </w:rPr>
            </w:pPr>
          </w:p>
        </w:tc>
        <w:tc>
          <w:tcPr>
            <w:tcW w:w="440" w:type="dxa"/>
            <w:vAlign w:val="bottom"/>
            <w:gridSpan w:val="3"/>
            <w:shd w:val="clear" w:color="auto" w:fill="EEEEEE"/>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Rate of compensation increase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ind w:left="200"/>
              <w:spacing w:after="0"/>
              <w:rPr>
                <w:sz w:val="20"/>
                <w:szCs w:val="20"/>
                <w:color w:val="auto"/>
              </w:rPr>
            </w:pPr>
            <w:r>
              <w:rPr>
                <w:rFonts w:ascii="Arial" w:cs="Arial" w:eastAsia="Arial" w:hAnsi="Arial"/>
                <w:sz w:val="16"/>
                <w:szCs w:val="16"/>
                <w:color w:val="auto"/>
                <w:w w:val="83"/>
              </w:rPr>
              <w:t>4.00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Arial" w:cs="Arial" w:eastAsia="Arial" w:hAnsi="Arial"/>
                <w:sz w:val="16"/>
                <w:szCs w:val="16"/>
                <w:color w:val="auto"/>
                <w:w w:val="96"/>
              </w:rPr>
              <w:t>4.00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8"/>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-2322830</wp:posOffset>
            </wp:positionV>
            <wp:extent cx="12700" cy="35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-2322830</wp:posOffset>
            </wp:positionV>
            <wp:extent cx="12700"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-2322830</wp:posOffset>
            </wp:positionV>
            <wp:extent cx="12700" cy="35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4167505</wp:posOffset>
            </wp:positionH>
            <wp:positionV relativeFrom="paragraph">
              <wp:posOffset>-2322830</wp:posOffset>
            </wp:positionV>
            <wp:extent cx="12700"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-2322830</wp:posOffset>
            </wp:positionV>
            <wp:extent cx="12700"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-2322830</wp:posOffset>
            </wp:positionV>
            <wp:extent cx="12700"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-2322830</wp:posOffset>
            </wp:positionV>
            <wp:extent cx="12700" cy="35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-2322830</wp:posOffset>
            </wp:positionV>
            <wp:extent cx="12700" cy="35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-2322830</wp:posOffset>
            </wp:positionV>
            <wp:extent cx="12700" cy="35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-2322830</wp:posOffset>
            </wp:positionV>
            <wp:extent cx="12700" cy="35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-2322830</wp:posOffset>
            </wp:positionV>
            <wp:extent cx="12700" cy="35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-2322830</wp:posOffset>
            </wp:positionV>
            <wp:extent cx="12700"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82" w:lineRule="exact"/>
        <w:rPr>
          <w:sz w:val="20"/>
          <w:szCs w:val="20"/>
          <w:color w:val="auto"/>
        </w:rPr>
      </w:pPr>
    </w:p>
    <w:p>
      <w:pPr>
        <w:ind w:right="100" w:firstLine="286"/>
        <w:spacing w:after="0" w:line="256" w:lineRule="auto"/>
        <w:rPr>
          <w:sz w:val="20"/>
          <w:szCs w:val="20"/>
          <w:color w:val="auto"/>
        </w:rPr>
      </w:pPr>
      <w:r>
        <w:rPr>
          <w:rFonts w:ascii="Arial" w:cs="Arial" w:eastAsia="Arial" w:hAnsi="Arial"/>
          <w:sz w:val="16"/>
          <w:szCs w:val="16"/>
          <w:color w:val="auto"/>
        </w:rPr>
        <w:t>To develop the expected long-term rate of return on assets assumption, the Company considered the historical returns and the future expectations for returns for each asset category, as well as the target asset allocation of the pension portfolio and the effect of periodic rebalancing. These results were adjusted for the payment of reasonable expenses of the plan from plan assets. This resulted in the selection of the 8.75% long-term rate of return on assets assumption.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780" w:type="dxa"/>
            <w:vAlign w:val="bottom"/>
          </w:tcPr>
          <w:p>
            <w:pPr>
              <w:jc w:val="right"/>
              <w:ind w:right="207"/>
              <w:spacing w:after="0"/>
              <w:rPr>
                <w:sz w:val="20"/>
                <w:szCs w:val="20"/>
                <w:color w:val="auto"/>
              </w:rPr>
            </w:pPr>
            <w:r>
              <w:rPr>
                <w:rFonts w:ascii="Arial" w:cs="Arial" w:eastAsia="Arial" w:hAnsi="Arial"/>
                <w:sz w:val="12"/>
                <w:szCs w:val="12"/>
                <w:b w:val="1"/>
                <w:bCs w:val="1"/>
                <w:color w:val="auto"/>
              </w:rPr>
              <w:t>2003</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2002</w:t>
            </w:r>
          </w:p>
        </w:tc>
        <w:tc>
          <w:tcPr>
            <w:tcW w:w="1720" w:type="dxa"/>
            <w:vAlign w:val="bottom"/>
          </w:tcPr>
          <w:p>
            <w:pPr>
              <w:spacing w:after="0"/>
              <w:rPr>
                <w:sz w:val="13"/>
                <w:szCs w:val="13"/>
                <w:color w:val="auto"/>
              </w:rPr>
            </w:pPr>
          </w:p>
        </w:tc>
      </w:tr>
      <w:tr>
        <w:trPr>
          <w:trHeight w:val="83"/>
        </w:trPr>
        <w:tc>
          <w:tcPr>
            <w:tcW w:w="17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1720" w:type="dxa"/>
            <w:vAlign w:val="bottom"/>
          </w:tcPr>
          <w:p>
            <w:pPr>
              <w:spacing w:after="0"/>
              <w:rPr>
                <w:sz w:val="7"/>
                <w:szCs w:val="7"/>
                <w:color w:val="auto"/>
              </w:rPr>
            </w:pPr>
          </w:p>
        </w:tc>
      </w:tr>
      <w:tr>
        <w:trPr>
          <w:trHeight w:val="87"/>
        </w:trPr>
        <w:tc>
          <w:tcPr>
            <w:tcW w:w="1720" w:type="dxa"/>
            <w:vAlign w:val="bottom"/>
          </w:tcPr>
          <w:p>
            <w:pPr>
              <w:spacing w:after="0"/>
              <w:rPr>
                <w:sz w:val="7"/>
                <w:szCs w:val="7"/>
                <w:color w:val="auto"/>
              </w:rPr>
            </w:pPr>
          </w:p>
        </w:tc>
        <w:tc>
          <w:tcPr>
            <w:tcW w:w="6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191"/>
        </w:trPr>
        <w:tc>
          <w:tcPr>
            <w:tcW w:w="1720" w:type="dxa"/>
            <w:vAlign w:val="bottom"/>
          </w:tcPr>
          <w:p>
            <w:pPr>
              <w:spacing w:after="0"/>
              <w:rPr>
                <w:sz w:val="16"/>
                <w:szCs w:val="16"/>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Assumed health care cost trend rates at December 31:</w:t>
            </w:r>
          </w:p>
        </w:tc>
        <w:tc>
          <w:tcPr>
            <w:tcW w:w="7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1720" w:type="dxa"/>
            <w:vAlign w:val="bottom"/>
          </w:tcPr>
          <w:p>
            <w:pPr>
              <w:spacing w:after="0"/>
              <w:rPr>
                <w:sz w:val="16"/>
                <w:szCs w:val="16"/>
                <w:color w:val="auto"/>
              </w:rPr>
            </w:pPr>
          </w:p>
        </w:tc>
      </w:tr>
      <w:tr>
        <w:trPr>
          <w:trHeight w:val="191"/>
        </w:trPr>
        <w:tc>
          <w:tcPr>
            <w:tcW w:w="17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Health care cost trend rate assumed for next year</w:t>
            </w:r>
          </w:p>
        </w:tc>
        <w:tc>
          <w:tcPr>
            <w:tcW w:w="780" w:type="dxa"/>
            <w:vAlign w:val="bottom"/>
          </w:tcPr>
          <w:p>
            <w:pPr>
              <w:jc w:val="right"/>
              <w:ind w:right="47"/>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1720" w:type="dxa"/>
            <w:vAlign w:val="bottom"/>
          </w:tcPr>
          <w:p>
            <w:pPr>
              <w:spacing w:after="0"/>
              <w:rPr>
                <w:sz w:val="16"/>
                <w:szCs w:val="16"/>
                <w:color w:val="auto"/>
              </w:rPr>
            </w:pPr>
          </w:p>
        </w:tc>
      </w:tr>
      <w:tr>
        <w:trPr>
          <w:trHeight w:val="191"/>
        </w:trPr>
        <w:tc>
          <w:tcPr>
            <w:tcW w:w="1720" w:type="dxa"/>
            <w:vAlign w:val="bottom"/>
          </w:tcPr>
          <w:p>
            <w:pPr>
              <w:spacing w:after="0"/>
              <w:rPr>
                <w:sz w:val="16"/>
                <w:szCs w:val="16"/>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6"/>
                <w:szCs w:val="16"/>
                <w:color w:val="auto"/>
              </w:rPr>
              <w:t>Rate to which the cost rate is assumed to decline (the ultimate trend rate)</w:t>
            </w:r>
          </w:p>
        </w:tc>
        <w:tc>
          <w:tcPr>
            <w:tcW w:w="780" w:type="dxa"/>
            <w:vAlign w:val="bottom"/>
            <w:shd w:val="clear" w:color="auto" w:fill="EEEEEE"/>
          </w:tcPr>
          <w:p>
            <w:pPr>
              <w:jc w:val="right"/>
              <w:ind w:right="167"/>
              <w:spacing w:after="0"/>
              <w:rPr>
                <w:sz w:val="20"/>
                <w:szCs w:val="20"/>
                <w:color w:val="auto"/>
              </w:rPr>
            </w:pPr>
            <w:r>
              <w:rPr>
                <w:rFonts w:ascii="Arial" w:cs="Arial" w:eastAsia="Arial" w:hAnsi="Arial"/>
                <w:sz w:val="16"/>
                <w:szCs w:val="16"/>
                <w:color w:val="auto"/>
              </w:rPr>
              <w:t>5.0</w:t>
            </w: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5.0</w:t>
            </w:r>
          </w:p>
        </w:tc>
        <w:tc>
          <w:tcPr>
            <w:tcW w:w="1720" w:type="dxa"/>
            <w:vAlign w:val="bottom"/>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Year that the rate reaches the ultimate trend rate</w:t>
            </w:r>
          </w:p>
        </w:tc>
        <w:tc>
          <w:tcPr>
            <w:tcW w:w="780" w:type="dxa"/>
            <w:vAlign w:val="bottom"/>
          </w:tcPr>
          <w:p>
            <w:pPr>
              <w:jc w:val="right"/>
              <w:ind w:right="167"/>
              <w:spacing w:after="0"/>
              <w:rPr>
                <w:sz w:val="20"/>
                <w:szCs w:val="20"/>
                <w:color w:val="auto"/>
              </w:rPr>
            </w:pPr>
            <w:r>
              <w:rPr>
                <w:rFonts w:ascii="Arial" w:cs="Arial" w:eastAsia="Arial" w:hAnsi="Arial"/>
                <w:sz w:val="16"/>
                <w:szCs w:val="16"/>
                <w:color w:val="auto"/>
              </w:rPr>
              <w:t>2009</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2008</w:t>
            </w:r>
          </w:p>
        </w:tc>
        <w:tc>
          <w:tcPr>
            <w:tcW w:w="1720" w:type="dxa"/>
            <w:vAlign w:val="bottom"/>
          </w:tcPr>
          <w:p>
            <w:pPr>
              <w:spacing w:after="0"/>
              <w:rPr>
                <w:sz w:val="17"/>
                <w:szCs w:val="17"/>
                <w:color w:val="auto"/>
              </w:rPr>
            </w:pPr>
          </w:p>
        </w:tc>
      </w:tr>
      <w:tr>
        <w:trPr>
          <w:trHeight w:val="375"/>
        </w:trPr>
        <w:tc>
          <w:tcPr>
            <w:tcW w:w="1720" w:type="dxa"/>
            <w:vAlign w:val="bottom"/>
          </w:tcPr>
          <w:p>
            <w:pPr>
              <w:spacing w:after="0"/>
              <w:rPr>
                <w:sz w:val="24"/>
                <w:szCs w:val="24"/>
                <w:color w:val="auto"/>
              </w:rPr>
            </w:pPr>
          </w:p>
        </w:tc>
        <w:tc>
          <w:tcPr>
            <w:tcW w:w="6300" w:type="dxa"/>
            <w:vAlign w:val="bottom"/>
          </w:tcPr>
          <w:p>
            <w:pPr>
              <w:ind w:left="3920"/>
              <w:spacing w:after="0"/>
              <w:rPr>
                <w:sz w:val="20"/>
                <w:szCs w:val="20"/>
                <w:color w:val="auto"/>
              </w:rPr>
            </w:pPr>
            <w:r>
              <w:rPr>
                <w:rFonts w:ascii="Arial" w:cs="Arial" w:eastAsia="Arial" w:hAnsi="Arial"/>
                <w:sz w:val="16"/>
                <w:szCs w:val="16"/>
                <w:color w:val="auto"/>
              </w:rPr>
              <w:t>66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0"/>
        </w:trPr>
        <w:tc>
          <w:tcPr>
            <w:tcW w:w="1720" w:type="dxa"/>
            <w:vAlign w:val="bottom"/>
            <w:tcBorders>
              <w:bottom w:val="single" w:sz="8" w:color="808080"/>
            </w:tcBorders>
          </w:tcPr>
          <w:p>
            <w:pPr>
              <w:spacing w:after="0"/>
              <w:rPr>
                <w:sz w:val="17"/>
                <w:szCs w:val="17"/>
                <w:color w:val="auto"/>
              </w:rPr>
            </w:pPr>
          </w:p>
        </w:tc>
        <w:tc>
          <w:tcPr>
            <w:tcW w:w="630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right="240" w:firstLine="286"/>
        <w:spacing w:after="0" w:line="264" w:lineRule="auto"/>
        <w:rPr>
          <w:sz w:val="20"/>
          <w:szCs w:val="20"/>
          <w:color w:val="auto"/>
        </w:rPr>
      </w:pPr>
      <w:r>
        <w:rPr>
          <w:rFonts w:ascii="Arial" w:cs="Arial" w:eastAsia="Arial" w:hAnsi="Arial"/>
          <w:sz w:val="16"/>
          <w:szCs w:val="16"/>
          <w:color w:val="auto"/>
        </w:rPr>
        <w:t>Assumed health care cost trend rates have a significant effect on the amounts reported for the health care plan. A one percentage-point change in assumed health care cost trend rates would have the following effects (in millions):</w:t>
      </w:r>
    </w:p>
    <w:p>
      <w:pPr>
        <w:spacing w:after="0" w:line="348"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620" w:type="dxa"/>
            <w:vAlign w:val="bottom"/>
          </w:tcPr>
          <w:p>
            <w:pPr>
              <w:jc w:val="right"/>
              <w:ind w:right="391"/>
              <w:spacing w:after="0"/>
              <w:rPr>
                <w:sz w:val="20"/>
                <w:szCs w:val="20"/>
                <w:color w:val="auto"/>
              </w:rPr>
            </w:pPr>
            <w:r>
              <w:rPr>
                <w:rFonts w:ascii="Arial" w:cs="Arial" w:eastAsia="Arial" w:hAnsi="Arial"/>
                <w:sz w:val="12"/>
                <w:szCs w:val="12"/>
                <w:b w:val="1"/>
                <w:bCs w:val="1"/>
                <w:color w:val="auto"/>
              </w:rPr>
              <w:t>1-Percentage-</w:t>
            </w:r>
          </w:p>
        </w:tc>
        <w:tc>
          <w:tcPr>
            <w:tcW w:w="300" w:type="dxa"/>
            <w:vAlign w:val="bottom"/>
          </w:tcPr>
          <w:p>
            <w:pPr>
              <w:spacing w:after="0"/>
              <w:rPr>
                <w:sz w:val="12"/>
                <w:szCs w:val="12"/>
                <w:color w:val="auto"/>
              </w:rPr>
            </w:pPr>
          </w:p>
        </w:tc>
        <w:tc>
          <w:tcPr>
            <w:tcW w:w="1680" w:type="dxa"/>
            <w:vAlign w:val="bottom"/>
          </w:tcPr>
          <w:p>
            <w:pPr>
              <w:jc w:val="right"/>
              <w:ind w:right="440"/>
              <w:spacing w:after="0"/>
              <w:rPr>
                <w:sz w:val="20"/>
                <w:szCs w:val="20"/>
                <w:color w:val="auto"/>
              </w:rPr>
            </w:pPr>
            <w:r>
              <w:rPr>
                <w:rFonts w:ascii="Arial" w:cs="Arial" w:eastAsia="Arial" w:hAnsi="Arial"/>
                <w:sz w:val="12"/>
                <w:szCs w:val="12"/>
                <w:b w:val="1"/>
                <w:bCs w:val="1"/>
                <w:color w:val="auto"/>
              </w:rPr>
              <w:t>1-Percentage-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620" w:type="dxa"/>
            <w:vAlign w:val="bottom"/>
          </w:tcPr>
          <w:p>
            <w:pPr>
              <w:jc w:val="right"/>
              <w:ind w:right="371"/>
              <w:spacing w:after="0"/>
              <w:rPr>
                <w:sz w:val="20"/>
                <w:szCs w:val="20"/>
                <w:color w:val="auto"/>
              </w:rPr>
            </w:pPr>
            <w:r>
              <w:rPr>
                <w:rFonts w:ascii="Arial" w:cs="Arial" w:eastAsia="Arial" w:hAnsi="Arial"/>
                <w:sz w:val="12"/>
                <w:szCs w:val="12"/>
                <w:b w:val="1"/>
                <w:bCs w:val="1"/>
                <w:color w:val="auto"/>
              </w:rPr>
              <w:t>Point Increase</w:t>
            </w:r>
          </w:p>
        </w:tc>
        <w:tc>
          <w:tcPr>
            <w:tcW w:w="300" w:type="dxa"/>
            <w:vAlign w:val="bottom"/>
          </w:tcPr>
          <w:p>
            <w:pPr>
              <w:spacing w:after="0"/>
              <w:rPr>
                <w:sz w:val="13"/>
                <w:szCs w:val="13"/>
                <w:color w:val="auto"/>
              </w:rPr>
            </w:pPr>
          </w:p>
        </w:tc>
        <w:tc>
          <w:tcPr>
            <w:tcW w:w="1680" w:type="dxa"/>
            <w:vAlign w:val="bottom"/>
          </w:tcPr>
          <w:p>
            <w:pPr>
              <w:jc w:val="right"/>
              <w:ind w:right="400"/>
              <w:spacing w:after="0"/>
              <w:rPr>
                <w:sz w:val="20"/>
                <w:szCs w:val="20"/>
                <w:color w:val="auto"/>
              </w:rPr>
            </w:pPr>
            <w:r>
              <w:rPr>
                <w:rFonts w:ascii="Arial" w:cs="Arial" w:eastAsia="Arial" w:hAnsi="Arial"/>
                <w:sz w:val="12"/>
                <w:szCs w:val="12"/>
                <w:b w:val="1"/>
                <w:bCs w:val="1"/>
                <w:color w:val="auto"/>
              </w:rPr>
              <w:t>Point Decrease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80" w:type="dxa"/>
            <w:vAlign w:val="bottom"/>
          </w:tcPr>
          <w:p>
            <w:pPr>
              <w:spacing w:after="0"/>
              <w:rPr>
                <w:sz w:val="7"/>
                <w:szCs w:val="7"/>
                <w:color w:val="auto"/>
              </w:rPr>
            </w:pPr>
          </w:p>
        </w:tc>
        <w:tc>
          <w:tcPr>
            <w:tcW w:w="16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66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6"/>
                <w:szCs w:val="16"/>
                <w:color w:val="auto"/>
              </w:rPr>
              <w:t>Effect on total of service and interest cost</w:t>
            </w:r>
          </w:p>
        </w:tc>
        <w:tc>
          <w:tcPr>
            <w:tcW w:w="1620" w:type="dxa"/>
            <w:vAlign w:val="bottom"/>
            <w:shd w:val="clear" w:color="auto" w:fill="EEEEEE"/>
          </w:tcPr>
          <w:p>
            <w:pPr>
              <w:jc w:val="right"/>
              <w:ind w:right="651"/>
              <w:spacing w:after="0"/>
              <w:rPr>
                <w:sz w:val="20"/>
                <w:szCs w:val="20"/>
                <w:color w:val="auto"/>
              </w:rPr>
            </w:pPr>
            <w:r>
              <w:rPr>
                <w:rFonts w:ascii="Arial" w:cs="Arial" w:eastAsia="Arial" w:hAnsi="Arial"/>
                <w:sz w:val="16"/>
                <w:szCs w:val="16"/>
                <w:color w:val="auto"/>
              </w:rPr>
              <w:t>$0.3</w:t>
            </w:r>
          </w:p>
        </w:tc>
        <w:tc>
          <w:tcPr>
            <w:tcW w:w="1980" w:type="dxa"/>
            <w:vAlign w:val="bottom"/>
            <w:gridSpan w:val="2"/>
            <w:shd w:val="clear" w:color="auto" w:fill="EEEEEE"/>
          </w:tcPr>
          <w:p>
            <w:pPr>
              <w:jc w:val="right"/>
              <w:ind w:right="60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Effect on the post-retirement benefit obligation</w:t>
            </w:r>
          </w:p>
        </w:tc>
        <w:tc>
          <w:tcPr>
            <w:tcW w:w="1620" w:type="dxa"/>
            <w:vAlign w:val="bottom"/>
          </w:tcPr>
          <w:p>
            <w:pPr>
              <w:jc w:val="right"/>
              <w:ind w:right="651"/>
              <w:spacing w:after="0"/>
              <w:rPr>
                <w:sz w:val="20"/>
                <w:szCs w:val="20"/>
                <w:color w:val="auto"/>
              </w:rPr>
            </w:pPr>
            <w:r>
              <w:rPr>
                <w:rFonts w:ascii="Arial" w:cs="Arial" w:eastAsia="Arial" w:hAnsi="Arial"/>
                <w:sz w:val="16"/>
                <w:szCs w:val="16"/>
                <w:color w:val="auto"/>
              </w:rPr>
              <w:t>2.8</w:t>
            </w:r>
          </w:p>
        </w:tc>
        <w:tc>
          <w:tcPr>
            <w:tcW w:w="1980" w:type="dxa"/>
            <w:vAlign w:val="bottom"/>
            <w:gridSpan w:val="2"/>
          </w:tcPr>
          <w:p>
            <w:pPr>
              <w:jc w:val="right"/>
              <w:ind w:right="6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U.S.-based pension plan weighted-average asset allocations at December 31, 2003 and 2002, by asset category are as follows:</w:t>
      </w:r>
    </w:p>
    <w:p>
      <w:pPr>
        <w:spacing w:after="0" w:line="37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5"/>
              </w:rPr>
              <w:t>Plan Assets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4"/>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4"/>
          </w:tcPr>
          <w:p>
            <w:pPr>
              <w:jc w:val="center"/>
              <w:ind w:left="60"/>
              <w:spacing w:after="0"/>
              <w:rPr>
                <w:sz w:val="20"/>
                <w:szCs w:val="20"/>
                <w:color w:val="auto"/>
              </w:rPr>
            </w:pPr>
            <w:r>
              <w:rPr>
                <w:rFonts w:ascii="Arial" w:cs="Arial" w:eastAsia="Arial" w:hAnsi="Arial"/>
                <w:sz w:val="12"/>
                <w:szCs w:val="12"/>
                <w:b w:val="1"/>
                <w:bCs w:val="1"/>
                <w:color w:val="auto"/>
                <w:w w:val="89"/>
              </w:rPr>
              <w:t>at 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83"/>
        </w:trPr>
        <w:tc>
          <w:tcPr>
            <w:tcW w:w="5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r>
      <w:tr>
        <w:trPr>
          <w:trHeight w:val="231"/>
        </w:trPr>
        <w:tc>
          <w:tcPr>
            <w:tcW w:w="6040" w:type="dxa"/>
            <w:vAlign w:val="bottom"/>
            <w:gridSpan w:val="2"/>
          </w:tcPr>
          <w:p>
            <w:pPr>
              <w:ind w:left="2520"/>
              <w:spacing w:after="0"/>
              <w:rPr>
                <w:sz w:val="20"/>
                <w:szCs w:val="20"/>
                <w:color w:val="auto"/>
              </w:rPr>
            </w:pPr>
            <w:r>
              <w:rPr>
                <w:rFonts w:ascii="Arial" w:cs="Arial" w:eastAsia="Arial" w:hAnsi="Arial"/>
                <w:sz w:val="12"/>
                <w:szCs w:val="12"/>
                <w:b w:val="1"/>
                <w:bCs w:val="1"/>
                <w:color w:val="auto"/>
              </w:rPr>
              <w:t>Asset Category</w:t>
            </w: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w w:val="89"/>
              </w:rPr>
              <w:t>2002</w:t>
            </w:r>
          </w:p>
        </w:tc>
        <w:tc>
          <w:tcPr>
            <w:tcW w:w="240" w:type="dxa"/>
            <w:vAlign w:val="bottom"/>
          </w:tcPr>
          <w:p>
            <w:pPr>
              <w:spacing w:after="0"/>
              <w:rPr>
                <w:sz w:val="20"/>
                <w:szCs w:val="20"/>
                <w:color w:val="auto"/>
              </w:rPr>
            </w:pPr>
          </w:p>
        </w:tc>
      </w:tr>
      <w:tr>
        <w:trPr>
          <w:trHeight w:val="83"/>
        </w:trPr>
        <w:tc>
          <w:tcPr>
            <w:tcW w:w="582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r>
      <w:tr>
        <w:trPr>
          <w:trHeight w:val="87"/>
        </w:trPr>
        <w:tc>
          <w:tcPr>
            <w:tcW w:w="5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191"/>
        </w:trPr>
        <w:tc>
          <w:tcPr>
            <w:tcW w:w="60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Domestic equity</w:t>
            </w:r>
          </w:p>
        </w:tc>
        <w:tc>
          <w:tcPr>
            <w:tcW w:w="96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57.4%</w:t>
            </w: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w w:val="83"/>
              </w:rPr>
              <w:t>49.4%</w:t>
            </w:r>
          </w:p>
        </w:tc>
      </w:tr>
      <w:tr>
        <w:trPr>
          <w:trHeight w:val="191"/>
        </w:trPr>
        <w:tc>
          <w:tcPr>
            <w:tcW w:w="6040" w:type="dxa"/>
            <w:vAlign w:val="bottom"/>
            <w:gridSpan w:val="2"/>
          </w:tcPr>
          <w:p>
            <w:pPr>
              <w:spacing w:after="0"/>
              <w:rPr>
                <w:sz w:val="20"/>
                <w:szCs w:val="20"/>
                <w:color w:val="auto"/>
              </w:rPr>
            </w:pPr>
            <w:r>
              <w:rPr>
                <w:rFonts w:ascii="Arial" w:cs="Arial" w:eastAsia="Arial" w:hAnsi="Arial"/>
                <w:sz w:val="16"/>
                <w:szCs w:val="16"/>
                <w:color w:val="auto"/>
              </w:rPr>
              <w:t>International equity</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r>
      <w:tr>
        <w:trPr>
          <w:trHeight w:val="191"/>
        </w:trPr>
        <w:tc>
          <w:tcPr>
            <w:tcW w:w="60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Investment Grade Bonds</w:t>
            </w:r>
          </w:p>
        </w:tc>
        <w:tc>
          <w:tcPr>
            <w:tcW w:w="96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28.0%</w:t>
            </w: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w w:val="83"/>
              </w:rPr>
              <w:t>28.5%</w:t>
            </w:r>
          </w:p>
        </w:tc>
      </w:tr>
      <w:tr>
        <w:trPr>
          <w:trHeight w:val="196"/>
        </w:trPr>
        <w:tc>
          <w:tcPr>
            <w:tcW w:w="6040" w:type="dxa"/>
            <w:vAlign w:val="bottom"/>
            <w:gridSpan w:val="2"/>
          </w:tcPr>
          <w:p>
            <w:pPr>
              <w:spacing w:after="0"/>
              <w:rPr>
                <w:sz w:val="20"/>
                <w:szCs w:val="20"/>
                <w:color w:val="auto"/>
              </w:rPr>
            </w:pPr>
            <w:r>
              <w:rPr>
                <w:rFonts w:ascii="Arial" w:cs="Arial" w:eastAsia="Arial" w:hAnsi="Arial"/>
                <w:sz w:val="16"/>
                <w:szCs w:val="16"/>
                <w:color w:val="auto"/>
              </w:rPr>
              <w:t>Money Market/ Cash</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w w:val="83"/>
              </w:rPr>
              <w:t>12.9%</w:t>
            </w:r>
          </w:p>
        </w:tc>
      </w:tr>
      <w:tr>
        <w:trPr>
          <w:trHeight w:val="90"/>
        </w:trPr>
        <w:tc>
          <w:tcPr>
            <w:tcW w:w="5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r>
      <w:tr>
        <w:trPr>
          <w:trHeight w:val="87"/>
        </w:trPr>
        <w:tc>
          <w:tcPr>
            <w:tcW w:w="5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r>
      <w:tr>
        <w:trPr>
          <w:trHeight w:val="191"/>
        </w:trPr>
        <w:tc>
          <w:tcPr>
            <w:tcW w:w="6040" w:type="dxa"/>
            <w:vAlign w:val="bottom"/>
            <w:gridSpan w:val="2"/>
            <w:shd w:val="clear" w:color="auto" w:fill="EEEEEE"/>
          </w:tcPr>
          <w:p>
            <w:pPr>
              <w:ind w:left="200"/>
              <w:spacing w:after="0"/>
              <w:rPr>
                <w:sz w:val="20"/>
                <w:szCs w:val="20"/>
                <w:color w:val="auto"/>
              </w:rPr>
            </w:pPr>
            <w:r>
              <w:rPr>
                <w:rFonts w:ascii="Arial" w:cs="Arial" w:eastAsia="Arial" w:hAnsi="Arial"/>
                <w:sz w:val="16"/>
                <w:szCs w:val="16"/>
                <w:color w:val="auto"/>
              </w:rPr>
              <w:t>Total</w:t>
            </w:r>
          </w:p>
        </w:tc>
        <w:tc>
          <w:tcPr>
            <w:tcW w:w="96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w w:val="92"/>
              </w:rPr>
              <w:t>100%</w:t>
            </w:r>
          </w:p>
        </w:tc>
      </w:tr>
      <w:tr>
        <w:trPr>
          <w:trHeight w:val="127"/>
        </w:trPr>
        <w:tc>
          <w:tcPr>
            <w:tcW w:w="5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5333365</wp:posOffset>
            </wp:positionH>
            <wp:positionV relativeFrom="paragraph">
              <wp:posOffset>-34925</wp:posOffset>
            </wp:positionV>
            <wp:extent cx="12700" cy="35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-34925</wp:posOffset>
            </wp:positionV>
            <wp:extent cx="12700" cy="35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6007735</wp:posOffset>
            </wp:positionH>
            <wp:positionV relativeFrom="paragraph">
              <wp:posOffset>-34925</wp:posOffset>
            </wp:positionV>
            <wp:extent cx="12700" cy="35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-34925</wp:posOffset>
            </wp:positionV>
            <wp:extent cx="12700" cy="35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5900" w:type="dxa"/>
            <w:vAlign w:val="bottom"/>
          </w:tcPr>
          <w:p>
            <w:pPr>
              <w:spacing w:after="0"/>
              <w:rPr>
                <w:sz w:val="13"/>
                <w:szCs w:val="13"/>
                <w:color w:val="auto"/>
              </w:rPr>
            </w:pPr>
          </w:p>
        </w:tc>
        <w:tc>
          <w:tcPr>
            <w:tcW w:w="740" w:type="dxa"/>
            <w:vAlign w:val="bottom"/>
          </w:tcPr>
          <w:p>
            <w:pPr>
              <w:jc w:val="right"/>
              <w:ind w:right="126"/>
              <w:spacing w:after="0"/>
              <w:rPr>
                <w:sz w:val="20"/>
                <w:szCs w:val="20"/>
                <w:color w:val="auto"/>
              </w:rPr>
            </w:pPr>
            <w:r>
              <w:rPr>
                <w:rFonts w:ascii="Arial" w:cs="Arial" w:eastAsia="Arial" w:hAnsi="Arial"/>
                <w:sz w:val="12"/>
                <w:szCs w:val="12"/>
                <w:b w:val="1"/>
                <w:bCs w:val="1"/>
                <w:color w:val="auto"/>
              </w:rPr>
              <w:t>Target</w:t>
            </w:r>
          </w:p>
        </w:tc>
        <w:tc>
          <w:tcPr>
            <w:tcW w:w="13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w:t>
            </w:r>
          </w:p>
        </w:tc>
      </w:tr>
      <w:tr>
        <w:trPr>
          <w:trHeight w:val="83"/>
        </w:trPr>
        <w:tc>
          <w:tcPr>
            <w:tcW w:w="59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r>
      <w:tr>
        <w:trPr>
          <w:trHeight w:val="87"/>
        </w:trPr>
        <w:tc>
          <w:tcPr>
            <w:tcW w:w="5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91"/>
        </w:trPr>
        <w:tc>
          <w:tcPr>
            <w:tcW w:w="590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Plan investments are invested within the following range targets:</w:t>
            </w:r>
          </w:p>
        </w:tc>
        <w:tc>
          <w:tcPr>
            <w:tcW w:w="7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r>
      <w:tr>
        <w:trPr>
          <w:trHeight w:val="191"/>
        </w:trPr>
        <w:tc>
          <w:tcPr>
            <w:tcW w:w="5900" w:type="dxa"/>
            <w:vAlign w:val="bottom"/>
          </w:tcPr>
          <w:p>
            <w:pPr>
              <w:spacing w:after="0"/>
              <w:rPr>
                <w:sz w:val="20"/>
                <w:szCs w:val="20"/>
                <w:color w:val="auto"/>
              </w:rPr>
            </w:pPr>
            <w:r>
              <w:rPr>
                <w:rFonts w:ascii="Arial" w:cs="Arial" w:eastAsia="Arial" w:hAnsi="Arial"/>
                <w:sz w:val="16"/>
                <w:szCs w:val="16"/>
                <w:color w:val="auto"/>
              </w:rPr>
              <w:t>Domestic equity</w:t>
            </w:r>
          </w:p>
        </w:tc>
        <w:tc>
          <w:tcPr>
            <w:tcW w:w="740" w:type="dxa"/>
            <w:vAlign w:val="bottom"/>
          </w:tcPr>
          <w:p>
            <w:pPr>
              <w:jc w:val="right"/>
              <w:ind w:right="146"/>
              <w:spacing w:after="0"/>
              <w:rPr>
                <w:sz w:val="20"/>
                <w:szCs w:val="20"/>
                <w:color w:val="auto"/>
              </w:rPr>
            </w:pPr>
            <w:r>
              <w:rPr>
                <w:rFonts w:ascii="Arial" w:cs="Arial" w:eastAsia="Arial" w:hAnsi="Arial"/>
                <w:sz w:val="16"/>
                <w:szCs w:val="16"/>
                <w:color w:val="auto"/>
              </w:rPr>
              <w:t>55%</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r>
      <w:tr>
        <w:trPr>
          <w:trHeight w:val="191"/>
        </w:trPr>
        <w:tc>
          <w:tcPr>
            <w:tcW w:w="5900" w:type="dxa"/>
            <w:vAlign w:val="bottom"/>
            <w:shd w:val="clear" w:color="auto" w:fill="EEEEEE"/>
          </w:tcPr>
          <w:p>
            <w:pPr>
              <w:spacing w:after="0"/>
              <w:rPr>
                <w:sz w:val="20"/>
                <w:szCs w:val="20"/>
                <w:color w:val="auto"/>
              </w:rPr>
            </w:pPr>
            <w:r>
              <w:rPr>
                <w:rFonts w:ascii="Arial" w:cs="Arial" w:eastAsia="Arial" w:hAnsi="Arial"/>
                <w:sz w:val="16"/>
                <w:szCs w:val="16"/>
                <w:color w:val="auto"/>
              </w:rPr>
              <w:t>International equity</w:t>
            </w:r>
          </w:p>
        </w:tc>
        <w:tc>
          <w:tcPr>
            <w:tcW w:w="740" w:type="dxa"/>
            <w:vAlign w:val="bottom"/>
            <w:shd w:val="clear" w:color="auto" w:fill="EEEEEE"/>
          </w:tcPr>
          <w:p>
            <w:pPr>
              <w:jc w:val="right"/>
              <w:ind w:right="146"/>
              <w:spacing w:after="0"/>
              <w:rPr>
                <w:sz w:val="20"/>
                <w:szCs w:val="20"/>
                <w:color w:val="auto"/>
              </w:rPr>
            </w:pPr>
            <w:r>
              <w:rPr>
                <w:rFonts w:ascii="Arial" w:cs="Arial" w:eastAsia="Arial" w:hAnsi="Arial"/>
                <w:sz w:val="16"/>
                <w:szCs w:val="16"/>
                <w:color w:val="auto"/>
              </w:rPr>
              <w:t>10%</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+/-3%</w:t>
            </w:r>
          </w:p>
        </w:tc>
      </w:tr>
      <w:tr>
        <w:trPr>
          <w:trHeight w:val="191"/>
        </w:trPr>
        <w:tc>
          <w:tcPr>
            <w:tcW w:w="5900" w:type="dxa"/>
            <w:vAlign w:val="bottom"/>
          </w:tcPr>
          <w:p>
            <w:pPr>
              <w:spacing w:after="0"/>
              <w:rPr>
                <w:sz w:val="20"/>
                <w:szCs w:val="20"/>
                <w:color w:val="auto"/>
              </w:rPr>
            </w:pPr>
            <w:r>
              <w:rPr>
                <w:rFonts w:ascii="Arial" w:cs="Arial" w:eastAsia="Arial" w:hAnsi="Arial"/>
                <w:sz w:val="16"/>
                <w:szCs w:val="16"/>
                <w:color w:val="auto"/>
              </w:rPr>
              <w:t>Investment grade bonds</w:t>
            </w:r>
          </w:p>
        </w:tc>
        <w:tc>
          <w:tcPr>
            <w:tcW w:w="740" w:type="dxa"/>
            <w:vAlign w:val="bottom"/>
          </w:tcPr>
          <w:p>
            <w:pPr>
              <w:jc w:val="right"/>
              <w:ind w:right="146"/>
              <w:spacing w:after="0"/>
              <w:rPr>
                <w:sz w:val="20"/>
                <w:szCs w:val="20"/>
                <w:color w:val="auto"/>
              </w:rPr>
            </w:pPr>
            <w:r>
              <w:rPr>
                <w:rFonts w:ascii="Arial" w:cs="Arial" w:eastAsia="Arial" w:hAnsi="Arial"/>
                <w:sz w:val="16"/>
                <w:szCs w:val="16"/>
                <w:color w:val="auto"/>
              </w:rPr>
              <w:t>30%</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r>
      <w:tr>
        <w:trPr>
          <w:trHeight w:val="191"/>
        </w:trPr>
        <w:tc>
          <w:tcPr>
            <w:tcW w:w="5900" w:type="dxa"/>
            <w:vAlign w:val="bottom"/>
            <w:shd w:val="clear" w:color="auto" w:fill="EEEEEE"/>
          </w:tcPr>
          <w:p>
            <w:pPr>
              <w:spacing w:after="0"/>
              <w:rPr>
                <w:sz w:val="20"/>
                <w:szCs w:val="20"/>
                <w:color w:val="auto"/>
              </w:rPr>
            </w:pPr>
            <w:r>
              <w:rPr>
                <w:rFonts w:ascii="Arial" w:cs="Arial" w:eastAsia="Arial" w:hAnsi="Arial"/>
                <w:sz w:val="16"/>
                <w:szCs w:val="16"/>
                <w:color w:val="auto"/>
              </w:rPr>
              <w:t>Money market/cash</w:t>
            </w:r>
          </w:p>
        </w:tc>
        <w:tc>
          <w:tcPr>
            <w:tcW w:w="740" w:type="dxa"/>
            <w:vAlign w:val="bottom"/>
            <w:shd w:val="clear" w:color="auto" w:fill="EEEEEE"/>
          </w:tcPr>
          <w:p>
            <w:pPr>
              <w:jc w:val="right"/>
              <w:ind w:right="146"/>
              <w:spacing w:after="0"/>
              <w:rPr>
                <w:sz w:val="20"/>
                <w:szCs w:val="20"/>
                <w:color w:val="auto"/>
              </w:rPr>
            </w:pPr>
            <w:r>
              <w:rPr>
                <w:rFonts w:ascii="Arial" w:cs="Arial" w:eastAsia="Arial" w:hAnsi="Arial"/>
                <w:sz w:val="16"/>
                <w:szCs w:val="16"/>
                <w:color w:val="auto"/>
              </w:rPr>
              <w:t>5%</w:t>
            </w:r>
          </w:p>
        </w:tc>
        <w:tc>
          <w:tcPr>
            <w:tcW w:w="13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+1%/-4%</w:t>
            </w:r>
          </w:p>
        </w:tc>
      </w:tr>
    </w:tbl>
    <w:p>
      <w:pPr>
        <w:spacing w:after="0" w:line="208" w:lineRule="exact"/>
        <w:rPr>
          <w:sz w:val="20"/>
          <w:szCs w:val="20"/>
          <w:color w:val="auto"/>
        </w:rPr>
      </w:pPr>
    </w:p>
    <w:p>
      <w:pPr>
        <w:ind w:right="60" w:firstLine="286"/>
        <w:spacing w:after="0" w:line="252" w:lineRule="auto"/>
        <w:rPr>
          <w:sz w:val="20"/>
          <w:szCs w:val="20"/>
          <w:color w:val="auto"/>
        </w:rPr>
      </w:pPr>
      <w:r>
        <w:rPr>
          <w:rFonts w:ascii="Arial" w:cs="Arial" w:eastAsia="Arial" w:hAnsi="Arial"/>
          <w:sz w:val="16"/>
          <w:szCs w:val="16"/>
          <w:color w:val="auto"/>
        </w:rPr>
        <w:t>The plan’s investment advisors have discretion within the above ranges. Investments are rebalanced based upon guidelines developed by the Company with input from their consultants and investment advisers. Additional contributions are invested under the same guidelines and may be used to rebalance the portfolio. The investment allocation and individual investments are chosen with regard to the duration of the obligations under the plan. The Company estimates its 2004 minimum required contribution will be $0.5 million to its pension plans. The Company will evaluate additional voluntary pension contributions throughout 2004. The Company estimates its 2004 contribution to its postretirement benefit plan to be approximately $3.0 million. Included in total plan assets above is approximately $20.0 million of assets related to foreign plans with a weighted-average expected rate of return is 7.5%.</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tab/>
        <w:t>Stock-Based Compensation Plans:</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Incentive Plan</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has an Incentive Plan, which was amended in September 1998 (the “1998 Incentive Plan”) and it provides for various long-term incentive and retentive vehicles.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These vehicles include stock options, performance shares, restricted stock awards and stock appreciation rights.</w:t>
      </w:r>
    </w:p>
    <w:p>
      <w:pPr>
        <w:spacing w:after="0" w:line="216" w:lineRule="exact"/>
        <w:rPr>
          <w:sz w:val="20"/>
          <w:szCs w:val="20"/>
          <w:color w:val="auto"/>
        </w:rPr>
      </w:pPr>
    </w:p>
    <w:p>
      <w:pPr>
        <w:ind w:firstLine="286"/>
        <w:spacing w:after="0" w:line="310" w:lineRule="auto"/>
        <w:rPr>
          <w:sz w:val="20"/>
          <w:szCs w:val="20"/>
          <w:color w:val="auto"/>
        </w:rPr>
      </w:pPr>
      <w:r>
        <w:rPr>
          <w:rFonts w:ascii="Arial" w:cs="Arial" w:eastAsia="Arial" w:hAnsi="Arial"/>
          <w:sz w:val="14"/>
          <w:szCs w:val="14"/>
          <w:color w:val="auto"/>
        </w:rPr>
        <w:t>Under the 1998 Incentive Plan, the Company is authorized to issue options for 18,254,706 shares of common stock. As of December 31, 2003, 17,670,597 shares of common stock have been granted and 2,574,528 shares have been cancelled or repurchased. Consequently, as of December 31, 2003, there are 3,158,637 shares available for grant. Under the 1998 Incentive Plan, the exercise price equals the stock’s fair value on the date of grant. The 1998 Incentive Plan options granted prior to 1998 vest on the date of grant.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Beginning in 1998, the 1998 Incentive Plan options vest over three years. The 1998 Incentive Plan options issued prior to December 2000 expire after ten years. The options issued beginning in December 2000 expire after seven years.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in connection with the acquisition of Service Experts Inc., assumed 254,355 outstanding stock options which are outstanding and fully vested.</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stock option activity follows (in millions, except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7"/>
          </w:tcPr>
          <w:p>
            <w:pPr>
              <w:ind w:left="120"/>
              <w:spacing w:after="0"/>
              <w:rPr>
                <w:sz w:val="20"/>
                <w:szCs w:val="20"/>
                <w:color w:val="auto"/>
              </w:rPr>
            </w:pPr>
            <w:r>
              <w:rPr>
                <w:rFonts w:ascii="Arial" w:cs="Arial" w:eastAsia="Arial" w:hAnsi="Arial"/>
                <w:sz w:val="12"/>
                <w:szCs w:val="12"/>
                <w:b w:val="1"/>
                <w:bCs w:val="1"/>
                <w:color w:val="auto"/>
              </w:rPr>
              <w:t>Years Ended December 31,</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2001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gridSpan w:val="2"/>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4"/>
          </w:tcPr>
          <w:p>
            <w:pPr>
              <w:ind w:left="240"/>
              <w:spacing w:after="0"/>
              <w:rPr>
                <w:sz w:val="20"/>
                <w:szCs w:val="20"/>
                <w:color w:val="auto"/>
              </w:rPr>
            </w:pPr>
            <w:r>
              <w:rPr>
                <w:rFonts w:ascii="Arial" w:cs="Arial" w:eastAsia="Arial" w:hAnsi="Arial"/>
                <w:sz w:val="12"/>
                <w:szCs w:val="12"/>
                <w:b w:val="1"/>
                <w:bCs w:val="1"/>
                <w:color w:val="auto"/>
              </w:rPr>
              <w:t>Weighted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2"/>
                <w:szCs w:val="12"/>
                <w:b w:val="1"/>
                <w:bCs w:val="1"/>
                <w:color w:val="auto"/>
              </w:rPr>
              <w:t>Weighted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4"/>
              </w:rPr>
              <w:t>Average</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8"/>
              </w:rPr>
              <w:t>Average</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340"/>
              <w:spacing w:after="0" w:line="132"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89"/>
              </w:rPr>
              <w:t>Exercise</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Exercise</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340"/>
              <w:spacing w:after="0" w:line="132" w:lineRule="exact"/>
              <w:rPr>
                <w:sz w:val="20"/>
                <w:szCs w:val="20"/>
                <w:color w:val="auto"/>
              </w:rPr>
            </w:pPr>
            <w:r>
              <w:rPr>
                <w:rFonts w:ascii="Arial" w:cs="Arial" w:eastAsia="Arial" w:hAnsi="Arial"/>
                <w:sz w:val="12"/>
                <w:szCs w:val="12"/>
                <w:b w:val="1"/>
                <w:bCs w:val="1"/>
                <w:color w:val="auto"/>
              </w:rPr>
              <w:t>Exercise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Price</w:t>
            </w:r>
          </w:p>
        </w:tc>
        <w:tc>
          <w:tcPr>
            <w:tcW w:w="300" w:type="dxa"/>
            <w:vAlign w:val="bottom"/>
          </w:tcPr>
          <w:p>
            <w:pPr>
              <w:spacing w:after="0"/>
              <w:rPr>
                <w:sz w:val="13"/>
                <w:szCs w:val="13"/>
                <w:color w:val="auto"/>
              </w:rPr>
            </w:pPr>
          </w:p>
        </w:tc>
        <w:tc>
          <w:tcPr>
            <w:tcW w:w="760" w:type="dxa"/>
            <w:vAlign w:val="bottom"/>
            <w:gridSpan w:val="4"/>
          </w:tcPr>
          <w:p>
            <w:pPr>
              <w:ind w:left="2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Price</w:t>
            </w:r>
          </w:p>
        </w:tc>
        <w:tc>
          <w:tcPr>
            <w:tcW w:w="300" w:type="dxa"/>
            <w:vAlign w:val="bottom"/>
          </w:tcPr>
          <w:p>
            <w:pPr>
              <w:spacing w:after="0"/>
              <w:rPr>
                <w:sz w:val="13"/>
                <w:szCs w:val="13"/>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Outstanding at beginning of year</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9.7</w:t>
            </w:r>
          </w:p>
        </w:tc>
        <w:tc>
          <w:tcPr>
            <w:tcW w:w="2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ind w:left="5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13.03</w:t>
            </w:r>
          </w:p>
        </w:tc>
        <w:tc>
          <w:tcPr>
            <w:tcW w:w="30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center"/>
              <w:ind w:left="582"/>
              <w:spacing w:after="0"/>
              <w:rPr>
                <w:sz w:val="20"/>
                <w:szCs w:val="20"/>
                <w:color w:val="auto"/>
              </w:rPr>
            </w:pPr>
            <w:r>
              <w:rPr>
                <w:rFonts w:ascii="Arial" w:cs="Arial" w:eastAsia="Arial" w:hAnsi="Arial"/>
                <w:sz w:val="16"/>
                <w:szCs w:val="16"/>
                <w:color w:val="auto"/>
                <w:w w:val="80"/>
              </w:rPr>
              <w:t>7.3</w:t>
            </w: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12.08</w:t>
            </w:r>
          </w:p>
        </w:tc>
        <w:tc>
          <w:tcPr>
            <w:tcW w:w="320" w:type="dxa"/>
            <w:vAlign w:val="bottom"/>
            <w:shd w:val="clear" w:color="auto" w:fill="EEEEEE"/>
          </w:tcPr>
          <w:p>
            <w:pPr>
              <w:spacing w:after="0"/>
              <w:rPr>
                <w:sz w:val="16"/>
                <w:szCs w:val="16"/>
                <w:color w:val="auto"/>
              </w:rPr>
            </w:pP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8.1</w:t>
            </w:r>
          </w:p>
        </w:tc>
        <w:tc>
          <w:tcPr>
            <w:tcW w:w="220" w:type="dxa"/>
            <w:vAlign w:val="bottom"/>
            <w:shd w:val="clear" w:color="auto" w:fill="EEEEEE"/>
          </w:tcPr>
          <w:p>
            <w:pPr>
              <w:spacing w:after="0"/>
              <w:rPr>
                <w:sz w:val="16"/>
                <w:szCs w:val="16"/>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11.97</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Granted</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79"/>
              </w:rPr>
              <w:t>17.00</w:t>
            </w:r>
          </w:p>
        </w:tc>
        <w:tc>
          <w:tcPr>
            <w:tcW w:w="300" w:type="dxa"/>
            <w:vAlign w:val="bottom"/>
          </w:tcPr>
          <w:p>
            <w:pPr>
              <w:spacing w:after="0"/>
              <w:rPr>
                <w:sz w:val="16"/>
                <w:szCs w:val="16"/>
                <w:color w:val="auto"/>
              </w:rPr>
            </w:pPr>
          </w:p>
        </w:tc>
        <w:tc>
          <w:tcPr>
            <w:tcW w:w="840" w:type="dxa"/>
            <w:vAlign w:val="bottom"/>
            <w:gridSpan w:val="3"/>
          </w:tcPr>
          <w:p>
            <w:pPr>
              <w:jc w:val="center"/>
              <w:ind w:left="582"/>
              <w:spacing w:after="0"/>
              <w:rPr>
                <w:sz w:val="20"/>
                <w:szCs w:val="20"/>
                <w:color w:val="auto"/>
              </w:rPr>
            </w:pPr>
            <w:r>
              <w:rPr>
                <w:rFonts w:ascii="Arial" w:cs="Arial" w:eastAsia="Arial" w:hAnsi="Arial"/>
                <w:sz w:val="16"/>
                <w:szCs w:val="16"/>
                <w:color w:val="auto"/>
                <w:w w:val="80"/>
              </w:rPr>
              <w:t>3.2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14.71</w:t>
            </w:r>
          </w:p>
        </w:tc>
        <w:tc>
          <w:tcPr>
            <w:tcW w:w="320" w:type="dxa"/>
            <w:vAlign w:val="bottom"/>
          </w:tcPr>
          <w:p>
            <w:pPr>
              <w:spacing w:after="0"/>
              <w:rPr>
                <w:sz w:val="16"/>
                <w:szCs w:val="16"/>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9.83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4"/>
            <w:shd w:val="clear" w:color="auto" w:fill="EEEEEE"/>
          </w:tcPr>
          <w:p>
            <w:pPr>
              <w:jc w:val="right"/>
              <w:ind w:right="160"/>
              <w:spacing w:after="0"/>
              <w:rPr>
                <w:sz w:val="20"/>
                <w:szCs w:val="20"/>
                <w:color w:val="auto"/>
              </w:rPr>
            </w:pPr>
            <w:r>
              <w:rPr>
                <w:rFonts w:ascii="Arial" w:cs="Arial" w:eastAsia="Arial" w:hAnsi="Arial"/>
                <w:sz w:val="16"/>
                <w:szCs w:val="16"/>
                <w:color w:val="auto"/>
              </w:rPr>
              <w:t>(0.6)</w:t>
            </w: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10.70</w:t>
            </w:r>
          </w:p>
        </w:tc>
        <w:tc>
          <w:tcPr>
            <w:tcW w:w="300" w:type="dxa"/>
            <w:vAlign w:val="bottom"/>
            <w:shd w:val="clear" w:color="auto" w:fill="EEEEEE"/>
          </w:tcPr>
          <w:p>
            <w:pPr>
              <w:spacing w:after="0"/>
              <w:rPr>
                <w:sz w:val="16"/>
                <w:szCs w:val="16"/>
                <w:color w:val="auto"/>
              </w:rPr>
            </w:pPr>
          </w:p>
        </w:tc>
        <w:tc>
          <w:tcPr>
            <w:tcW w:w="1060" w:type="dxa"/>
            <w:vAlign w:val="bottom"/>
            <w:gridSpan w:val="5"/>
            <w:shd w:val="clear" w:color="auto" w:fill="EEEEEE"/>
          </w:tcPr>
          <w:p>
            <w:pPr>
              <w:jc w:val="center"/>
              <w:ind w:left="362"/>
              <w:spacing w:after="0"/>
              <w:rPr>
                <w:sz w:val="20"/>
                <w:szCs w:val="20"/>
                <w:color w:val="auto"/>
              </w:rPr>
            </w:pPr>
            <w:r>
              <w:rPr>
                <w:rFonts w:ascii="Arial" w:cs="Arial" w:eastAsia="Arial" w:hAnsi="Arial"/>
                <w:sz w:val="16"/>
                <w:szCs w:val="16"/>
                <w:color w:val="auto"/>
                <w:w w:val="91"/>
              </w:rPr>
              <w:t>(0.6)</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9.30</w:t>
            </w:r>
          </w:p>
        </w:tc>
        <w:tc>
          <w:tcPr>
            <w:tcW w:w="320" w:type="dxa"/>
            <w:vAlign w:val="bottom"/>
            <w:shd w:val="clear" w:color="auto" w:fill="EEEEEE"/>
          </w:tcPr>
          <w:p>
            <w:pPr>
              <w:spacing w:after="0"/>
              <w:rPr>
                <w:sz w:val="16"/>
                <w:szCs w:val="16"/>
                <w:color w:val="auto"/>
              </w:rPr>
            </w:pPr>
          </w:p>
        </w:tc>
        <w:tc>
          <w:tcPr>
            <w:tcW w:w="1080" w:type="dxa"/>
            <w:vAlign w:val="bottom"/>
            <w:gridSpan w:val="5"/>
            <w:shd w:val="clear" w:color="auto" w:fill="EEEEEE"/>
          </w:tcPr>
          <w:p>
            <w:pPr>
              <w:jc w:val="right"/>
              <w:ind w:right="160"/>
              <w:spacing w:after="0"/>
              <w:rPr>
                <w:sz w:val="20"/>
                <w:szCs w:val="20"/>
                <w:color w:val="auto"/>
              </w:rPr>
            </w:pPr>
            <w:r>
              <w:rPr>
                <w:rFonts w:ascii="Arial" w:cs="Arial" w:eastAsia="Arial" w:hAnsi="Arial"/>
                <w:sz w:val="16"/>
                <w:szCs w:val="16"/>
                <w:color w:val="auto"/>
              </w:rPr>
              <w:t>(0.1)</w:t>
            </w:r>
          </w:p>
        </w:tc>
        <w:tc>
          <w:tcPr>
            <w:tcW w:w="30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7.44</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Forfeited</w:t>
            </w:r>
          </w:p>
        </w:tc>
        <w:tc>
          <w:tcPr>
            <w:tcW w:w="760" w:type="dxa"/>
            <w:vAlign w:val="bottom"/>
            <w:gridSpan w:val="4"/>
          </w:tcPr>
          <w:p>
            <w:pPr>
              <w:jc w:val="right"/>
              <w:ind w:right="160"/>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79"/>
              </w:rPr>
              <w:t>19.07</w:t>
            </w:r>
          </w:p>
        </w:tc>
        <w:tc>
          <w:tcPr>
            <w:tcW w:w="300" w:type="dxa"/>
            <w:vAlign w:val="bottom"/>
          </w:tcPr>
          <w:p>
            <w:pPr>
              <w:spacing w:after="0"/>
              <w:rPr>
                <w:sz w:val="17"/>
                <w:szCs w:val="17"/>
                <w:color w:val="auto"/>
              </w:rPr>
            </w:pPr>
          </w:p>
        </w:tc>
        <w:tc>
          <w:tcPr>
            <w:tcW w:w="1060" w:type="dxa"/>
            <w:vAlign w:val="bottom"/>
            <w:gridSpan w:val="5"/>
          </w:tcPr>
          <w:p>
            <w:pPr>
              <w:jc w:val="center"/>
              <w:ind w:left="362"/>
              <w:spacing w:after="0"/>
              <w:rPr>
                <w:sz w:val="20"/>
                <w:szCs w:val="20"/>
                <w:color w:val="auto"/>
              </w:rPr>
            </w:pPr>
            <w:r>
              <w:rPr>
                <w:rFonts w:ascii="Arial" w:cs="Arial" w:eastAsia="Arial" w:hAnsi="Arial"/>
                <w:sz w:val="16"/>
                <w:szCs w:val="16"/>
                <w:color w:val="auto"/>
                <w:w w:val="91"/>
              </w:rPr>
              <w:t>(0.2)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15.01</w:t>
            </w:r>
          </w:p>
        </w:tc>
        <w:tc>
          <w:tcPr>
            <w:tcW w:w="320" w:type="dxa"/>
            <w:vAlign w:val="bottom"/>
          </w:tcPr>
          <w:p>
            <w:pPr>
              <w:spacing w:after="0"/>
              <w:rPr>
                <w:sz w:val="17"/>
                <w:szCs w:val="17"/>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6"/>
                <w:szCs w:val="16"/>
                <w:color w:val="auto"/>
              </w:rPr>
              <w:t>(0.8)</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11.53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Outstanding at end of year</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EEEEEE"/>
          </w:tcPr>
          <w:p>
            <w:pPr>
              <w:spacing w:after="0"/>
              <w:rPr>
                <w:sz w:val="16"/>
                <w:szCs w:val="16"/>
                <w:color w:val="auto"/>
              </w:rPr>
            </w:pPr>
          </w:p>
        </w:tc>
        <w:tc>
          <w:tcPr>
            <w:tcW w:w="600" w:type="dxa"/>
            <w:vAlign w:val="bottom"/>
            <w:gridSpan w:val="2"/>
            <w:shd w:val="clear" w:color="auto" w:fill="EEEEEE"/>
          </w:tcPr>
          <w:p>
            <w:pPr>
              <w:ind w:left="5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EEEEEE"/>
          </w:tcPr>
          <w:p>
            <w:pPr>
              <w:spacing w:after="0"/>
              <w:rPr>
                <w:sz w:val="16"/>
                <w:szCs w:val="16"/>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9"/>
              </w:rPr>
              <w:t>13.09</w:t>
            </w:r>
          </w:p>
        </w:tc>
        <w:tc>
          <w:tcPr>
            <w:tcW w:w="300" w:type="dxa"/>
            <w:vAlign w:val="bottom"/>
            <w:shd w:val="clear" w:color="auto" w:fill="EEEEEE"/>
          </w:tcPr>
          <w:p>
            <w:pPr>
              <w:spacing w:after="0"/>
              <w:rPr>
                <w:sz w:val="16"/>
                <w:szCs w:val="16"/>
                <w:color w:val="auto"/>
              </w:rPr>
            </w:pPr>
          </w:p>
        </w:tc>
        <w:tc>
          <w:tcPr>
            <w:tcW w:w="840" w:type="dxa"/>
            <w:vAlign w:val="bottom"/>
            <w:gridSpan w:val="3"/>
            <w:shd w:val="clear" w:color="auto" w:fill="EEEEEE"/>
          </w:tcPr>
          <w:p>
            <w:pPr>
              <w:jc w:val="center"/>
              <w:ind w:left="582"/>
              <w:spacing w:after="0"/>
              <w:rPr>
                <w:sz w:val="20"/>
                <w:szCs w:val="20"/>
                <w:color w:val="auto"/>
              </w:rPr>
            </w:pPr>
            <w:r>
              <w:rPr>
                <w:rFonts w:ascii="Arial" w:cs="Arial" w:eastAsia="Arial" w:hAnsi="Arial"/>
                <w:sz w:val="16"/>
                <w:szCs w:val="16"/>
                <w:color w:val="auto"/>
                <w:w w:val="80"/>
              </w:rPr>
              <w:t>9.7</w:t>
            </w: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13.03</w:t>
            </w:r>
          </w:p>
        </w:tc>
        <w:tc>
          <w:tcPr>
            <w:tcW w:w="320" w:type="dxa"/>
            <w:vAlign w:val="bottom"/>
            <w:shd w:val="clear" w:color="auto" w:fill="EEEEEE"/>
          </w:tcPr>
          <w:p>
            <w:pPr>
              <w:spacing w:after="0"/>
              <w:rPr>
                <w:sz w:val="16"/>
                <w:szCs w:val="16"/>
                <w:color w:val="auto"/>
              </w:rPr>
            </w:pPr>
          </w:p>
        </w:tc>
        <w:tc>
          <w:tcPr>
            <w:tcW w:w="860" w:type="dxa"/>
            <w:vAlign w:val="bottom"/>
            <w:gridSpan w:val="4"/>
            <w:shd w:val="clear" w:color="auto" w:fill="EEEEEE"/>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EEEEEE"/>
          </w:tcPr>
          <w:p>
            <w:pPr>
              <w:spacing w:after="0"/>
              <w:rPr>
                <w:sz w:val="16"/>
                <w:szCs w:val="16"/>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12.08</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5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4580" w:type="dxa"/>
            <w:vAlign w:val="bottom"/>
            <w:gridSpan w:val="2"/>
          </w:tcPr>
          <w:p>
            <w:pPr>
              <w:spacing w:after="0"/>
              <w:rPr>
                <w:sz w:val="20"/>
                <w:szCs w:val="20"/>
                <w:color w:val="auto"/>
              </w:rPr>
            </w:pPr>
            <w:r>
              <w:rPr>
                <w:rFonts w:ascii="Arial" w:cs="Arial" w:eastAsia="Arial" w:hAnsi="Arial"/>
                <w:sz w:val="16"/>
                <w:szCs w:val="16"/>
                <w:color w:val="auto"/>
              </w:rPr>
              <w:t>Exercisable at end of year</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4"/>
                <w:szCs w:val="24"/>
                <w:color w:val="auto"/>
              </w:rPr>
            </w:pPr>
          </w:p>
        </w:tc>
        <w:tc>
          <w:tcPr>
            <w:tcW w:w="600" w:type="dxa"/>
            <w:vAlign w:val="bottom"/>
            <w:gridSpan w:val="2"/>
          </w:tcPr>
          <w:p>
            <w:pPr>
              <w:ind w:left="5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79"/>
              </w:rPr>
              <w:t>12.74</w:t>
            </w:r>
          </w:p>
        </w:tc>
        <w:tc>
          <w:tcPr>
            <w:tcW w:w="300" w:type="dxa"/>
            <w:vAlign w:val="bottom"/>
          </w:tcPr>
          <w:p>
            <w:pPr>
              <w:spacing w:after="0"/>
              <w:rPr>
                <w:sz w:val="24"/>
                <w:szCs w:val="24"/>
                <w:color w:val="auto"/>
              </w:rPr>
            </w:pPr>
          </w:p>
        </w:tc>
        <w:tc>
          <w:tcPr>
            <w:tcW w:w="840" w:type="dxa"/>
            <w:vAlign w:val="bottom"/>
            <w:gridSpan w:val="3"/>
          </w:tcPr>
          <w:p>
            <w:pPr>
              <w:jc w:val="center"/>
              <w:ind w:left="582"/>
              <w:spacing w:after="0"/>
              <w:rPr>
                <w:sz w:val="20"/>
                <w:szCs w:val="20"/>
                <w:color w:val="auto"/>
              </w:rPr>
            </w:pPr>
            <w:r>
              <w:rPr>
                <w:rFonts w:ascii="Arial" w:cs="Arial" w:eastAsia="Arial" w:hAnsi="Arial"/>
                <w:sz w:val="16"/>
                <w:szCs w:val="16"/>
                <w:color w:val="auto"/>
                <w:w w:val="80"/>
              </w:rPr>
              <w:t>6.3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ind w:left="54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12.99</w:t>
            </w:r>
          </w:p>
        </w:tc>
        <w:tc>
          <w:tcPr>
            <w:tcW w:w="3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4"/>
                <w:szCs w:val="24"/>
                <w:color w:val="auto"/>
              </w:rPr>
            </w:pPr>
          </w:p>
        </w:tc>
        <w:tc>
          <w:tcPr>
            <w:tcW w:w="720" w:type="dxa"/>
            <w:vAlign w:val="bottom"/>
            <w:gridSpan w:val="2"/>
          </w:tcPr>
          <w:p>
            <w:pPr>
              <w:ind w:left="64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13.24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Fair value of options granted</w:t>
            </w: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620" w:type="dxa"/>
            <w:vAlign w:val="bottom"/>
            <w:gridSpan w:val="3"/>
            <w:shd w:val="clear" w:color="auto" w:fill="EEEEEE"/>
          </w:tcPr>
          <w:p>
            <w:pPr>
              <w:ind w:left="520"/>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6.33</w:t>
            </w: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20" w:type="dxa"/>
            <w:vAlign w:val="bottom"/>
            <w:gridSpan w:val="2"/>
            <w:shd w:val="clear" w:color="auto" w:fill="EEEEEE"/>
          </w:tcPr>
          <w:p>
            <w:pPr>
              <w:ind w:left="5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5.51</w:t>
            </w: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3.96</w:t>
            </w:r>
          </w:p>
        </w:tc>
        <w:tc>
          <w:tcPr>
            <w:tcW w:w="3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-579755</wp:posOffset>
            </wp:positionV>
            <wp:extent cx="12700" cy="35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-579755</wp:posOffset>
            </wp:positionV>
            <wp:extent cx="12700" cy="35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-579755</wp:posOffset>
            </wp:positionV>
            <wp:extent cx="12700" cy="35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-579755</wp:posOffset>
            </wp:positionV>
            <wp:extent cx="12700" cy="35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-579755</wp:posOffset>
            </wp:positionV>
            <wp:extent cx="12700" cy="35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-579755</wp:posOffset>
            </wp:positionV>
            <wp:extent cx="12700" cy="35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-579755</wp:posOffset>
            </wp:positionV>
            <wp:extent cx="12700" cy="35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-579755</wp:posOffset>
            </wp:positionV>
            <wp:extent cx="12700" cy="35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-579755</wp:posOffset>
            </wp:positionV>
            <wp:extent cx="12700" cy="355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-579755</wp:posOffset>
            </wp:positionV>
            <wp:extent cx="12700" cy="35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7052945</wp:posOffset>
            </wp:positionH>
            <wp:positionV relativeFrom="paragraph">
              <wp:posOffset>-579755</wp:posOffset>
            </wp:positionV>
            <wp:extent cx="12700" cy="35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6833235</wp:posOffset>
            </wp:positionH>
            <wp:positionV relativeFrom="paragraph">
              <wp:posOffset>-579755</wp:posOffset>
            </wp:positionV>
            <wp:extent cx="12700" cy="35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-307340</wp:posOffset>
            </wp:positionV>
            <wp:extent cx="12700" cy="35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-307340</wp:posOffset>
            </wp:positionV>
            <wp:extent cx="12700" cy="35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-307340</wp:posOffset>
            </wp:positionV>
            <wp:extent cx="12700" cy="35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-307340</wp:posOffset>
            </wp:positionV>
            <wp:extent cx="12700" cy="35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-307340</wp:posOffset>
            </wp:positionV>
            <wp:extent cx="12700" cy="35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-307340</wp:posOffset>
            </wp:positionV>
            <wp:extent cx="12700" cy="35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-307340</wp:posOffset>
            </wp:positionV>
            <wp:extent cx="12700" cy="355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-307340</wp:posOffset>
            </wp:positionV>
            <wp:extent cx="12700" cy="355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-307340</wp:posOffset>
            </wp:positionV>
            <wp:extent cx="12700" cy="355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-307340</wp:posOffset>
            </wp:positionV>
            <wp:extent cx="12700" cy="355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7052945</wp:posOffset>
            </wp:positionH>
            <wp:positionV relativeFrom="paragraph">
              <wp:posOffset>-307340</wp:posOffset>
            </wp:positionV>
            <wp:extent cx="12700" cy="35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6833235</wp:posOffset>
            </wp:positionH>
            <wp:positionV relativeFrom="paragraph">
              <wp:posOffset>-307340</wp:posOffset>
            </wp:positionV>
            <wp:extent cx="12700" cy="355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-34925</wp:posOffset>
            </wp:positionV>
            <wp:extent cx="12700" cy="355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-34925</wp:posOffset>
            </wp:positionV>
            <wp:extent cx="12700" cy="355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-34925</wp:posOffset>
            </wp:positionV>
            <wp:extent cx="12700" cy="355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-34925</wp:posOffset>
            </wp:positionV>
            <wp:extent cx="12700" cy="355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7052945</wp:posOffset>
            </wp:positionH>
            <wp:positionV relativeFrom="paragraph">
              <wp:posOffset>-34925</wp:posOffset>
            </wp:positionV>
            <wp:extent cx="12700" cy="355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6833235</wp:posOffset>
            </wp:positionH>
            <wp:positionV relativeFrom="paragraph">
              <wp:posOffset>-34925</wp:posOffset>
            </wp:positionV>
            <wp:extent cx="12700" cy="355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information about stock options outstanding at December 31, 2003 (in millions, except per share data and years):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3"/>
          </w:tcPr>
          <w:p>
            <w:pPr>
              <w:ind w:left="200"/>
              <w:spacing w:after="0"/>
              <w:rPr>
                <w:sz w:val="20"/>
                <w:szCs w:val="20"/>
                <w:color w:val="auto"/>
              </w:rPr>
            </w:pPr>
            <w:r>
              <w:rPr>
                <w:rFonts w:ascii="Arial" w:cs="Arial" w:eastAsia="Arial" w:hAnsi="Arial"/>
                <w:sz w:val="12"/>
                <w:szCs w:val="12"/>
                <w:b w:val="1"/>
                <w:bCs w:val="1"/>
                <w:color w:val="auto"/>
                <w:w w:val="93"/>
              </w:rPr>
              <w:t>Options Outstanding</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w w:val="91"/>
              </w:rPr>
              <w:t>Options Exercisable</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Weighted-</w:t>
            </w:r>
          </w:p>
        </w:tc>
        <w:tc>
          <w:tcPr>
            <w:tcW w:w="32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8"/>
              </w:rPr>
              <w:t>Average</w:t>
            </w:r>
          </w:p>
        </w:tc>
        <w:tc>
          <w:tcPr>
            <w:tcW w:w="320" w:type="dxa"/>
            <w:vAlign w:val="bottom"/>
          </w:tcPr>
          <w:p>
            <w:pPr>
              <w:spacing w:after="0"/>
              <w:rPr>
                <w:sz w:val="11"/>
                <w:szCs w:val="11"/>
                <w:color w:val="auto"/>
              </w:rPr>
            </w:pPr>
          </w:p>
        </w:tc>
        <w:tc>
          <w:tcPr>
            <w:tcW w:w="12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8"/>
              </w:rPr>
              <w:t>Average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7"/>
              </w:rPr>
              <w:t>Remaining</w:t>
            </w:r>
          </w:p>
        </w:tc>
        <w:tc>
          <w:tcPr>
            <w:tcW w:w="320" w:type="dxa"/>
            <w:vAlign w:val="bottom"/>
          </w:tcPr>
          <w:p>
            <w:pPr>
              <w:spacing w:after="0"/>
              <w:rPr>
                <w:sz w:val="11"/>
                <w:szCs w:val="11"/>
                <w:color w:val="auto"/>
              </w:rPr>
            </w:pPr>
          </w:p>
        </w:tc>
        <w:tc>
          <w:tcPr>
            <w:tcW w:w="12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4"/>
              </w:rPr>
              <w:t>Exercise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92"/>
              </w:rPr>
              <w:t>Number</w:t>
            </w:r>
          </w:p>
        </w:tc>
        <w:tc>
          <w:tcPr>
            <w:tcW w:w="320" w:type="dxa"/>
            <w:vAlign w:val="bottom"/>
          </w:tcPr>
          <w:p>
            <w:pPr>
              <w:spacing w:after="0"/>
              <w:rPr>
                <w:sz w:val="11"/>
                <w:szCs w:val="11"/>
                <w:color w:val="auto"/>
              </w:rPr>
            </w:pPr>
          </w:p>
        </w:tc>
        <w:tc>
          <w:tcPr>
            <w:tcW w:w="134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92"/>
              </w:rPr>
              <w:t>Contractual</w:t>
            </w:r>
          </w:p>
        </w:tc>
        <w:tc>
          <w:tcPr>
            <w:tcW w:w="320" w:type="dxa"/>
            <w:vAlign w:val="bottom"/>
          </w:tcPr>
          <w:p>
            <w:pPr>
              <w:spacing w:after="0"/>
              <w:rPr>
                <w:sz w:val="11"/>
                <w:szCs w:val="11"/>
                <w:color w:val="auto"/>
              </w:rPr>
            </w:pPr>
          </w:p>
        </w:tc>
        <w:tc>
          <w:tcPr>
            <w:tcW w:w="1240" w:type="dxa"/>
            <w:vAlign w:val="bottom"/>
            <w:gridSpan w:val="3"/>
          </w:tcPr>
          <w:p>
            <w:pPr>
              <w:jc w:val="center"/>
              <w:ind w:right="20"/>
              <w:spacing w:after="0" w:line="132" w:lineRule="exact"/>
              <w:rPr>
                <w:sz w:val="20"/>
                <w:szCs w:val="20"/>
                <w:color w:val="auto"/>
              </w:rPr>
            </w:pPr>
            <w:r>
              <w:rPr>
                <w:rFonts w:ascii="Arial" w:cs="Arial" w:eastAsia="Arial" w:hAnsi="Arial"/>
                <w:sz w:val="12"/>
                <w:szCs w:val="12"/>
                <w:b w:val="1"/>
                <w:bCs w:val="1"/>
                <w:color w:val="auto"/>
                <w:w w:val="89"/>
              </w:rPr>
              <w:t>Price per</w:t>
            </w:r>
          </w:p>
        </w:tc>
        <w:tc>
          <w:tcPr>
            <w:tcW w:w="320" w:type="dxa"/>
            <w:vAlign w:val="bottom"/>
          </w:tcPr>
          <w:p>
            <w:pPr>
              <w:spacing w:after="0"/>
              <w:rPr>
                <w:sz w:val="11"/>
                <w:szCs w:val="11"/>
                <w:color w:val="auto"/>
              </w:rPr>
            </w:pPr>
          </w:p>
        </w:tc>
        <w:tc>
          <w:tcPr>
            <w:tcW w:w="110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92"/>
              </w:rPr>
              <w:t>Number</w:t>
            </w:r>
          </w:p>
        </w:tc>
        <w:tc>
          <w:tcPr>
            <w:tcW w:w="320" w:type="dxa"/>
            <w:vAlign w:val="bottom"/>
          </w:tcPr>
          <w:p>
            <w:pPr>
              <w:spacing w:after="0"/>
              <w:rPr>
                <w:sz w:val="11"/>
                <w:szCs w:val="11"/>
                <w:color w:val="auto"/>
              </w:rPr>
            </w:pPr>
          </w:p>
        </w:tc>
        <w:tc>
          <w:tcPr>
            <w:tcW w:w="1280" w:type="dxa"/>
            <w:vAlign w:val="bottom"/>
            <w:gridSpan w:val="3"/>
          </w:tcPr>
          <w:p>
            <w:pPr>
              <w:jc w:val="center"/>
              <w:spacing w:after="0" w:line="132" w:lineRule="exact"/>
              <w:rPr>
                <w:sz w:val="20"/>
                <w:szCs w:val="20"/>
                <w:color w:val="auto"/>
              </w:rPr>
            </w:pPr>
            <w:r>
              <w:rPr>
                <w:rFonts w:ascii="Arial" w:cs="Arial" w:eastAsia="Arial" w:hAnsi="Arial"/>
                <w:sz w:val="12"/>
                <w:szCs w:val="12"/>
                <w:b w:val="1"/>
                <w:bCs w:val="1"/>
                <w:color w:val="auto"/>
                <w:w w:val="93"/>
              </w:rPr>
              <w:t>Price per</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80" w:type="dxa"/>
            <w:vAlign w:val="bottom"/>
            <w:gridSpan w:val="2"/>
          </w:tcPr>
          <w:p>
            <w:pPr>
              <w:ind w:left="1240"/>
              <w:spacing w:after="0"/>
              <w:rPr>
                <w:sz w:val="20"/>
                <w:szCs w:val="20"/>
                <w:color w:val="auto"/>
              </w:rPr>
            </w:pPr>
            <w:r>
              <w:rPr>
                <w:rFonts w:ascii="Arial" w:cs="Arial" w:eastAsia="Arial" w:hAnsi="Arial"/>
                <w:sz w:val="12"/>
                <w:szCs w:val="12"/>
                <w:b w:val="1"/>
                <w:bCs w:val="1"/>
                <w:color w:val="auto"/>
              </w:rPr>
              <w:t>Range of Exercise Prices</w:t>
            </w:r>
          </w:p>
        </w:tc>
        <w:tc>
          <w:tcPr>
            <w:tcW w:w="11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320" w:type="dxa"/>
            <w:vAlign w:val="bottom"/>
          </w:tcPr>
          <w:p>
            <w:pPr>
              <w:spacing w:after="0"/>
              <w:rPr>
                <w:sz w:val="13"/>
                <w:szCs w:val="13"/>
                <w:color w:val="auto"/>
              </w:rPr>
            </w:pPr>
          </w:p>
        </w:tc>
        <w:tc>
          <w:tcPr>
            <w:tcW w:w="13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Life (Years)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Share</w:t>
            </w:r>
          </w:p>
        </w:tc>
        <w:tc>
          <w:tcPr>
            <w:tcW w:w="3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6"/>
              </w:rPr>
              <w:t>Exercisable</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3"/>
              </w:rPr>
              <w:t>Share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7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$7.28 - $7.88</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32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EEEEEE"/>
          </w:tcPr>
          <w:p>
            <w:pPr>
              <w:spacing w:after="0"/>
              <w:rPr>
                <w:sz w:val="16"/>
                <w:szCs w:val="16"/>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7.55</w:t>
            </w:r>
          </w:p>
        </w:tc>
        <w:tc>
          <w:tcPr>
            <w:tcW w:w="440" w:type="dxa"/>
            <w:vAlign w:val="bottom"/>
            <w:shd w:val="clear" w:color="auto" w:fill="EEEEEE"/>
          </w:tcPr>
          <w:p>
            <w:pPr>
              <w:spacing w:after="0"/>
              <w:rPr>
                <w:sz w:val="16"/>
                <w:szCs w:val="16"/>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7.55</w:t>
            </w: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$8.19</w:t>
            </w:r>
          </w:p>
        </w:tc>
        <w:tc>
          <w:tcPr>
            <w:tcW w:w="3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8.19</w:t>
            </w:r>
          </w:p>
        </w:tc>
        <w:tc>
          <w:tcPr>
            <w:tcW w:w="4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8.19</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$8.75 - $11.22</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11.05</w:t>
            </w:r>
          </w:p>
        </w:tc>
        <w:tc>
          <w:tcPr>
            <w:tcW w:w="440" w:type="dxa"/>
            <w:vAlign w:val="bottom"/>
            <w:shd w:val="clear" w:color="auto" w:fill="EEEEEE"/>
          </w:tcPr>
          <w:p>
            <w:pPr>
              <w:spacing w:after="0"/>
              <w:rPr>
                <w:sz w:val="16"/>
                <w:szCs w:val="16"/>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11.05</w:t>
            </w: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$13.21 - $13.31</w:t>
            </w:r>
          </w:p>
        </w:tc>
        <w:tc>
          <w:tcPr>
            <w:tcW w:w="3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13.31</w:t>
            </w:r>
          </w:p>
        </w:tc>
        <w:tc>
          <w:tcPr>
            <w:tcW w:w="4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$13.38</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13.38</w:t>
            </w:r>
          </w:p>
        </w:tc>
        <w:tc>
          <w:tcPr>
            <w:tcW w:w="440" w:type="dxa"/>
            <w:vAlign w:val="bottom"/>
            <w:shd w:val="clear" w:color="auto" w:fill="EEEEEE"/>
          </w:tcPr>
          <w:p>
            <w:pPr>
              <w:spacing w:after="0"/>
              <w:rPr>
                <w:sz w:val="16"/>
                <w:szCs w:val="16"/>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0.5</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13.38</w:t>
            </w: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$13.90 - $15.59</w:t>
            </w:r>
          </w:p>
        </w:tc>
        <w:tc>
          <w:tcPr>
            <w:tcW w:w="3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14.00</w:t>
            </w:r>
          </w:p>
        </w:tc>
        <w:tc>
          <w:tcPr>
            <w:tcW w:w="4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14.00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$16.21</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5</w:t>
            </w:r>
          </w:p>
        </w:tc>
        <w:tc>
          <w:tcPr>
            <w:tcW w:w="4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16.21</w:t>
            </w:r>
          </w:p>
        </w:tc>
        <w:tc>
          <w:tcPr>
            <w:tcW w:w="440" w:type="dxa"/>
            <w:vAlign w:val="bottom"/>
            <w:shd w:val="clear" w:color="auto" w:fill="EEEEEE"/>
          </w:tcPr>
          <w:p>
            <w:pPr>
              <w:spacing w:after="0"/>
              <w:rPr>
                <w:sz w:val="16"/>
                <w:szCs w:val="16"/>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0.9</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16.21</w:t>
            </w: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$16.37 - $19.40</w:t>
            </w:r>
          </w:p>
        </w:tc>
        <w:tc>
          <w:tcPr>
            <w:tcW w:w="3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18.31</w:t>
            </w:r>
          </w:p>
        </w:tc>
        <w:tc>
          <w:tcPr>
            <w:tcW w:w="44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18.62</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6"/>
                <w:szCs w:val="16"/>
                <w:color w:val="auto"/>
              </w:rPr>
              <w:t>$24.91 - $49.63</w:t>
            </w:r>
          </w:p>
        </w:tc>
        <w:tc>
          <w:tcPr>
            <w:tcW w:w="32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320" w:type="dxa"/>
            <w:vAlign w:val="bottom"/>
            <w:shd w:val="clear" w:color="auto" w:fill="EEEEEE"/>
          </w:tcPr>
          <w:p>
            <w:pPr>
              <w:spacing w:after="0"/>
              <w:rPr>
                <w:sz w:val="16"/>
                <w:szCs w:val="16"/>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4</w:t>
            </w:r>
          </w:p>
        </w:tc>
        <w:tc>
          <w:tcPr>
            <w:tcW w:w="4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37.85</w:t>
            </w:r>
          </w:p>
        </w:tc>
        <w:tc>
          <w:tcPr>
            <w:tcW w:w="440" w:type="dxa"/>
            <w:vAlign w:val="bottom"/>
            <w:shd w:val="clear" w:color="auto" w:fill="EEEEEE"/>
          </w:tcPr>
          <w:p>
            <w:pPr>
              <w:spacing w:after="0"/>
              <w:rPr>
                <w:sz w:val="16"/>
                <w:szCs w:val="16"/>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0.1</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37.85</w:t>
            </w:r>
          </w:p>
        </w:tc>
        <w:tc>
          <w:tcPr>
            <w:tcW w:w="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0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13.09</w:t>
            </w:r>
          </w:p>
        </w:tc>
        <w:tc>
          <w:tcPr>
            <w:tcW w:w="4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12.74</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-473710</wp:posOffset>
            </wp:positionV>
            <wp:extent cx="12700" cy="35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-473710</wp:posOffset>
            </wp:positionV>
            <wp:extent cx="12700" cy="35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-473710</wp:posOffset>
            </wp:positionV>
            <wp:extent cx="12700" cy="35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-473710</wp:posOffset>
            </wp:positionV>
            <wp:extent cx="12700" cy="35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-473710</wp:posOffset>
            </wp:positionV>
            <wp:extent cx="12700" cy="35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-473710</wp:posOffset>
            </wp:positionV>
            <wp:extent cx="12700" cy="355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-473710</wp:posOffset>
            </wp:positionV>
            <wp:extent cx="12700" cy="35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-473710</wp:posOffset>
            </wp:positionV>
            <wp:extent cx="12700" cy="355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-473710</wp:posOffset>
            </wp:positionV>
            <wp:extent cx="12700" cy="355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6742430</wp:posOffset>
            </wp:positionH>
            <wp:positionV relativeFrom="paragraph">
              <wp:posOffset>-473710</wp:posOffset>
            </wp:positionV>
            <wp:extent cx="12700" cy="355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6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87"/>
              </w:rPr>
              <w:t>December 31,</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83"/>
        </w:trPr>
        <w:tc>
          <w:tcPr>
            <w:tcW w:w="648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r>
      <w:tr>
        <w:trPr>
          <w:trHeight w:val="231"/>
        </w:trPr>
        <w:tc>
          <w:tcPr>
            <w:tcW w:w="6480" w:type="dxa"/>
            <w:vAlign w:val="bottom"/>
          </w:tcPr>
          <w:p>
            <w:pPr>
              <w:spacing w:after="0"/>
              <w:rPr>
                <w:sz w:val="20"/>
                <w:szCs w:val="20"/>
                <w:color w:val="auto"/>
              </w:rPr>
            </w:pPr>
          </w:p>
        </w:tc>
        <w:tc>
          <w:tcPr>
            <w:tcW w:w="720" w:type="dxa"/>
            <w:vAlign w:val="bottom"/>
          </w:tcPr>
          <w:p>
            <w:pPr>
              <w:jc w:val="right"/>
              <w:ind w:right="166"/>
              <w:spacing w:after="0"/>
              <w:rPr>
                <w:sz w:val="20"/>
                <w:szCs w:val="20"/>
                <w:color w:val="auto"/>
              </w:rPr>
            </w:pPr>
            <w:r>
              <w:rPr>
                <w:rFonts w:ascii="Arial" w:cs="Arial" w:eastAsia="Arial" w:hAnsi="Arial"/>
                <w:sz w:val="12"/>
                <w:szCs w:val="12"/>
                <w:b w:val="1"/>
                <w:bCs w:val="1"/>
                <w:color w:val="auto"/>
              </w:rPr>
              <w:t>2003</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2002</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2001</w:t>
            </w:r>
          </w:p>
        </w:tc>
      </w:tr>
      <w:tr>
        <w:trPr>
          <w:trHeight w:val="83"/>
        </w:trPr>
        <w:tc>
          <w:tcPr>
            <w:tcW w:w="6480" w:type="dxa"/>
            <w:vAlign w:val="bottom"/>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r>
      <w:tr>
        <w:trPr>
          <w:trHeight w:val="87"/>
        </w:trPr>
        <w:tc>
          <w:tcPr>
            <w:tcW w:w="6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91"/>
        </w:trPr>
        <w:tc>
          <w:tcPr>
            <w:tcW w:w="6480" w:type="dxa"/>
            <w:vAlign w:val="bottom"/>
            <w:shd w:val="clear" w:color="auto" w:fill="EEEEEE"/>
          </w:tcPr>
          <w:p>
            <w:pPr>
              <w:spacing w:after="0"/>
              <w:rPr>
                <w:sz w:val="20"/>
                <w:szCs w:val="20"/>
                <w:color w:val="auto"/>
              </w:rPr>
            </w:pPr>
            <w:r>
              <w:rPr>
                <w:rFonts w:ascii="Arial" w:cs="Arial" w:eastAsia="Arial" w:hAnsi="Arial"/>
                <w:sz w:val="16"/>
                <w:szCs w:val="16"/>
                <w:color w:val="auto"/>
              </w:rPr>
              <w:t>Expected dividend yield</w:t>
            </w:r>
          </w:p>
        </w:tc>
        <w:tc>
          <w:tcPr>
            <w:tcW w:w="7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2.24%</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6"/>
                <w:szCs w:val="16"/>
                <w:color w:val="auto"/>
              </w:rPr>
              <w:t>4.0%</w:t>
            </w: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20" w:type="dxa"/>
            <w:vAlign w:val="bottom"/>
          </w:tcPr>
          <w:p>
            <w:pPr>
              <w:jc w:val="right"/>
              <w:spacing w:after="0"/>
              <w:rPr>
                <w:sz w:val="20"/>
                <w:szCs w:val="20"/>
                <w:color w:val="auto"/>
              </w:rPr>
            </w:pPr>
            <w:r>
              <w:rPr>
                <w:rFonts w:ascii="Arial" w:cs="Arial" w:eastAsia="Arial" w:hAnsi="Arial"/>
                <w:sz w:val="16"/>
                <w:szCs w:val="16"/>
                <w:color w:val="auto"/>
              </w:rPr>
              <w:t>3.75%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4.88%</w:t>
            </w:r>
          </w:p>
        </w:tc>
      </w:tr>
      <w:tr>
        <w:trPr>
          <w:trHeight w:val="191"/>
        </w:trPr>
        <w:tc>
          <w:tcPr>
            <w:tcW w:w="6480" w:type="dxa"/>
            <w:vAlign w:val="bottom"/>
            <w:shd w:val="clear" w:color="auto" w:fill="EEEEEE"/>
          </w:tcPr>
          <w:p>
            <w:pPr>
              <w:spacing w:after="0"/>
              <w:rPr>
                <w:sz w:val="20"/>
                <w:szCs w:val="20"/>
                <w:color w:val="auto"/>
              </w:rPr>
            </w:pPr>
            <w:r>
              <w:rPr>
                <w:rFonts w:ascii="Arial" w:cs="Arial" w:eastAsia="Arial" w:hAnsi="Arial"/>
                <w:sz w:val="16"/>
                <w:szCs w:val="16"/>
                <w:color w:val="auto"/>
              </w:rPr>
              <w:t>Expected volatility</w:t>
            </w:r>
          </w:p>
        </w:tc>
        <w:tc>
          <w:tcPr>
            <w:tcW w:w="7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40.0%</w:t>
            </w:r>
          </w:p>
        </w:tc>
        <w:tc>
          <w:tcPr>
            <w:tcW w:w="9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50.0%</w:t>
            </w: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6"/>
                <w:szCs w:val="16"/>
                <w:color w:val="auto"/>
              </w:rPr>
              <w:t>40.0%</w:t>
            </w:r>
          </w:p>
        </w:tc>
      </w:tr>
      <w:tr>
        <w:trPr>
          <w:trHeight w:val="196"/>
        </w:trPr>
        <w:tc>
          <w:tcPr>
            <w:tcW w:w="6480" w:type="dxa"/>
            <w:vAlign w:val="bottom"/>
          </w:tcPr>
          <w:p>
            <w:pPr>
              <w:spacing w:after="0"/>
              <w:rPr>
                <w:sz w:val="20"/>
                <w:szCs w:val="20"/>
                <w:color w:val="auto"/>
              </w:rPr>
            </w:pPr>
            <w:r>
              <w:rPr>
                <w:rFonts w:ascii="Arial" w:cs="Arial" w:eastAsia="Arial" w:hAnsi="Arial"/>
                <w:sz w:val="16"/>
                <w:szCs w:val="16"/>
                <w:color w:val="auto"/>
              </w:rPr>
              <w:t>Expected life (in years)</w:t>
            </w:r>
          </w:p>
        </w:tc>
        <w:tc>
          <w:tcPr>
            <w:tcW w:w="720" w:type="dxa"/>
            <w:vAlign w:val="bottom"/>
          </w:tcPr>
          <w:p>
            <w:pPr>
              <w:jc w:val="right"/>
              <w:ind w:right="106"/>
              <w:spacing w:after="0"/>
              <w:rPr>
                <w:sz w:val="20"/>
                <w:szCs w:val="20"/>
                <w:color w:val="auto"/>
              </w:rPr>
            </w:pPr>
            <w:r>
              <w:rPr>
                <w:rFonts w:ascii="Arial" w:cs="Arial" w:eastAsia="Arial" w:hAnsi="Arial"/>
                <w:sz w:val="16"/>
                <w:szCs w:val="16"/>
                <w:color w:val="auto"/>
              </w:rPr>
              <w:t>7</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r>
    </w:tbl>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Performance Shares</w:t>
      </w:r>
    </w:p>
    <w:p>
      <w:pPr>
        <w:spacing w:after="0" w:line="222" w:lineRule="exact"/>
        <w:rPr>
          <w:sz w:val="20"/>
          <w:szCs w:val="20"/>
          <w:color w:val="auto"/>
        </w:rPr>
      </w:pPr>
    </w:p>
    <w:p>
      <w:pPr>
        <w:ind w:firstLine="286"/>
        <w:spacing w:after="0" w:line="288" w:lineRule="auto"/>
        <w:rPr>
          <w:sz w:val="20"/>
          <w:szCs w:val="20"/>
          <w:color w:val="auto"/>
        </w:rPr>
      </w:pPr>
      <w:r>
        <w:rPr>
          <w:rFonts w:ascii="Arial" w:cs="Arial" w:eastAsia="Arial" w:hAnsi="Arial"/>
          <w:sz w:val="14"/>
          <w:szCs w:val="14"/>
          <w:color w:val="auto"/>
        </w:rPr>
        <w:t>Under the Incentive Plan, performance shares are awarded (“The Fixed Performance Awards”) to certain employees at the discretion of the Board of Directors as of the beginning of each fiscal year. Awards granted prior to 2003 were vested after ten years of employment (the “Vesting Period”). Fixed Performance Awards are converted to an equal number of shares of the Company’s Common Stock. If pre-defined performance measures are met by the Company over a three-year period, the Vesting Period is accelerated from ten years to three years for 25% to 100% of the Fixed Performance Awards, depending on the Company’s performance. Compensation expense is measured based on the market price of the stock at date of grant and is recognized on a straight-line basis over the performance period. The participants may also earn additional shares of the Company’s Common Stock. The number of additional shares can range from 0% to 100% of the awards granted, depending on the Company’s performance over a three-year period. Compensation expense on the additional shares is measured by applying the market price of the Company’s stock at the end of the period to the number of additional shares that are expected to be earned. Such expense is recognized over the performance period. As of December 31, 2003, no additional shares were expected to be earned in future periods. The weighted-average grant-date fair values for awards granted in 2002 were $15.32. No awards were granted in 2001. Beginning in 2003, the Company changed the vesting of Fixed Performance Awards such that the awards vest if, at the end of the performance period, at least the minimum performance level has been attained. To the extent that the award payout level attained is less than 100%, the difference between 100% and the award distributed, if any, shall be forfeited. Compensation expense is measured by applying the market price of the Company’s stock at the end of the period to the number of awards expected to be earned. In 2003, the Company awarded 258,166 shares at a weighted-average grant-date fair value of $16.76. The 64,247,203 shares of Common Stock issued as of December 31, 2003 include 1,272,036 shares which represent Fixed Performance Awards that have not yet vested, and 200,975 shares which represent Fixed Performance Awards which have vested but have not been converted to shares of the Company’s Common Stock.</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Restricted Stock Awards</w:t>
      </w:r>
    </w:p>
    <w:p>
      <w:pPr>
        <w:spacing w:after="0" w:line="222" w:lineRule="exact"/>
        <w:rPr>
          <w:sz w:val="20"/>
          <w:szCs w:val="20"/>
          <w:color w:val="auto"/>
        </w:rPr>
      </w:pPr>
    </w:p>
    <w:p>
      <w:pPr>
        <w:ind w:firstLine="286"/>
        <w:spacing w:after="0" w:line="252" w:lineRule="auto"/>
        <w:rPr>
          <w:sz w:val="20"/>
          <w:szCs w:val="20"/>
          <w:color w:val="auto"/>
        </w:rPr>
      </w:pPr>
      <w:r>
        <w:rPr>
          <w:rFonts w:ascii="Arial" w:cs="Arial" w:eastAsia="Arial" w:hAnsi="Arial"/>
          <w:sz w:val="16"/>
          <w:szCs w:val="16"/>
          <w:color w:val="auto"/>
        </w:rPr>
        <w:t>Under the Incentive Plan, Restricted Stock Awards are used to attract and retain key Company executives. The 64,247,203 shares of Common Stock issued as of December 31, 2003 include 654,936 unvested shares awarded to key executives. At the end of the three-year retention period, the award will vest and be distributed to the participant provided that the participant has been an employee of the Company or one of its wholly owned subsidiaries continuously throughout the retention period. Compensation expense is measured based on the market price of the stock at date of grant and is recognized on a straight-line basis over the performance period. The weighted-average grant-date fair values for awards granted in 2003 and 2002, were $15.81 and $16.25, respectively.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Stock Appreciation Rights</w:t>
      </w:r>
    </w:p>
    <w:p>
      <w:pPr>
        <w:spacing w:after="0" w:line="222" w:lineRule="exact"/>
        <w:rPr>
          <w:sz w:val="20"/>
          <w:szCs w:val="20"/>
          <w:color w:val="auto"/>
        </w:rPr>
      </w:pPr>
    </w:p>
    <w:p>
      <w:pPr>
        <w:ind w:firstLine="286"/>
        <w:spacing w:after="0" w:line="264" w:lineRule="auto"/>
        <w:rPr>
          <w:sz w:val="20"/>
          <w:szCs w:val="20"/>
          <w:color w:val="auto"/>
        </w:rPr>
      </w:pPr>
      <w:r>
        <w:rPr>
          <w:rFonts w:ascii="Arial" w:cs="Arial" w:eastAsia="Arial" w:hAnsi="Arial"/>
          <w:sz w:val="16"/>
          <w:szCs w:val="16"/>
          <w:color w:val="auto"/>
        </w:rPr>
        <w:t>In 2003, the Company began the awarding of stock appreciation rights. Each awardee is given the “right” to receive a value equal to the future appreciation of the Company’s stock price. The value is paid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73" w:name="page74"/>
    <w:bookmarkEnd w:id="73"/>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jc w:val="both"/>
        <w:ind w:left="5" w:right="20"/>
        <w:spacing w:after="0" w:line="310" w:lineRule="auto"/>
        <w:rPr>
          <w:sz w:val="20"/>
          <w:szCs w:val="20"/>
          <w:color w:val="auto"/>
        </w:rPr>
      </w:pPr>
      <w:r>
        <w:rPr>
          <w:rFonts w:ascii="Arial" w:cs="Arial" w:eastAsia="Arial" w:hAnsi="Arial"/>
          <w:sz w:val="14"/>
          <w:szCs w:val="14"/>
          <w:color w:val="auto"/>
        </w:rPr>
        <w:t>Company’s stock. The award vests in one-third increments beginning with the first anniversary date after the grant date. Compensation expense is measured by applying the increase in the market price of the Company’s stock at the end of the period to the number of awards. In 2003, the Company awarded 1,048,881 shares at a weighted-average grant-date fair value of $16.76. As the closing stock price on December 31, 2003 was less than the grant-date fair value, no expense was recognized in 2003.</w:t>
      </w:r>
    </w:p>
    <w:p>
      <w:pPr>
        <w:spacing w:after="0" w:line="348" w:lineRule="exact"/>
        <w:rPr>
          <w:sz w:val="20"/>
          <w:szCs w:val="20"/>
          <w:color w:val="auto"/>
        </w:rPr>
      </w:pPr>
    </w:p>
    <w:p>
      <w:pPr>
        <w:ind w:left="565" w:hanging="565"/>
        <w:spacing w:after="0"/>
        <w:tabs>
          <w:tab w:leader="none" w:pos="56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22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22" w:lineRule="exact"/>
        <w:rPr>
          <w:sz w:val="20"/>
          <w:szCs w:val="20"/>
          <w:color w:val="auto"/>
        </w:rPr>
      </w:pPr>
    </w:p>
    <w:p>
      <w:pPr>
        <w:ind w:left="5" w:right="120" w:firstLine="286"/>
        <w:spacing w:after="0" w:line="264" w:lineRule="auto"/>
        <w:rPr>
          <w:sz w:val="20"/>
          <w:szCs w:val="20"/>
          <w:color w:val="auto"/>
        </w:rPr>
      </w:pPr>
      <w:r>
        <w:rPr>
          <w:rFonts w:ascii="Arial" w:cs="Arial" w:eastAsia="Arial" w:hAnsi="Arial"/>
          <w:sz w:val="16"/>
          <w:szCs w:val="16"/>
          <w:color w:val="auto"/>
        </w:rPr>
        <w:t>The Company has various leases relating principally to the use of operating facilities. Rent expense for 2003, 2002 and 2001 was approximately $59.7 million, $71.4 million and $69.9 million, respectively.</w:t>
      </w:r>
    </w:p>
    <w:p>
      <w:pPr>
        <w:spacing w:after="0" w:line="192"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approximate minimum commitments under all non-cancelable leases at December 31, 2003, are as follows (in millions):</w:t>
      </w:r>
    </w:p>
    <w:p>
      <w:pPr>
        <w:spacing w:after="0" w:line="395" w:lineRule="exact"/>
        <w:rPr>
          <w:sz w:val="20"/>
          <w:szCs w:val="20"/>
          <w:color w:val="auto"/>
        </w:rPr>
      </w:pPr>
    </w:p>
    <w:tbl>
      <w:tblPr>
        <w:tblLayout w:type="fixed"/>
        <w:tblInd w:w="2285" w:type="dxa"/>
        <w:tblCellMar>
          <w:top w:w="0" w:type="dxa"/>
          <w:left w:w="0" w:type="dxa"/>
          <w:bottom w:w="0" w:type="dxa"/>
          <w:right w:w="0" w:type="dxa"/>
        </w:tblCellMar>
      </w:tblPr>
      <w:tr>
        <w:trPr>
          <w:trHeight w:val="191"/>
        </w:trPr>
        <w:tc>
          <w:tcPr>
            <w:tcW w:w="3440" w:type="dxa"/>
            <w:vAlign w:val="bottom"/>
            <w:shd w:val="clear" w:color="auto" w:fill="EEEEEE"/>
          </w:tcPr>
          <w:p>
            <w:pPr>
              <w:spacing w:after="0"/>
              <w:rPr>
                <w:sz w:val="20"/>
                <w:szCs w:val="20"/>
                <w:color w:val="auto"/>
              </w:rPr>
            </w:pPr>
            <w:r>
              <w:rPr>
                <w:rFonts w:ascii="Arial" w:cs="Arial" w:eastAsia="Arial" w:hAnsi="Arial"/>
                <w:sz w:val="16"/>
                <w:szCs w:val="16"/>
                <w:color w:val="auto"/>
              </w:rPr>
              <w:t>2004</w:t>
            </w:r>
          </w:p>
        </w:tc>
        <w:tc>
          <w:tcPr>
            <w:tcW w:w="28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43.7</w:t>
            </w:r>
          </w:p>
        </w:tc>
        <w:tc>
          <w:tcPr>
            <w:tcW w:w="200" w:type="dxa"/>
            <w:vAlign w:val="bottom"/>
            <w:shd w:val="clear" w:color="auto" w:fill="EEEEEE"/>
          </w:tcPr>
          <w:p>
            <w:pPr>
              <w:spacing w:after="0"/>
              <w:rPr>
                <w:sz w:val="16"/>
                <w:szCs w:val="16"/>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2005</w:t>
            </w:r>
          </w:p>
        </w:tc>
        <w:tc>
          <w:tcPr>
            <w:tcW w:w="2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Pr>
          <w:p>
            <w:pPr>
              <w:spacing w:after="0"/>
              <w:rPr>
                <w:sz w:val="16"/>
                <w:szCs w:val="16"/>
                <w:color w:val="auto"/>
              </w:rPr>
            </w:pPr>
          </w:p>
        </w:tc>
      </w:tr>
      <w:tr>
        <w:trPr>
          <w:trHeight w:val="191"/>
        </w:trPr>
        <w:tc>
          <w:tcPr>
            <w:tcW w:w="3440" w:type="dxa"/>
            <w:vAlign w:val="bottom"/>
            <w:shd w:val="clear" w:color="auto" w:fill="EEEEEE"/>
          </w:tcPr>
          <w:p>
            <w:pPr>
              <w:spacing w:after="0"/>
              <w:rPr>
                <w:sz w:val="20"/>
                <w:szCs w:val="20"/>
                <w:color w:val="auto"/>
              </w:rPr>
            </w:pPr>
            <w:r>
              <w:rPr>
                <w:rFonts w:ascii="Arial" w:cs="Arial" w:eastAsia="Arial" w:hAnsi="Arial"/>
                <w:sz w:val="16"/>
                <w:szCs w:val="16"/>
                <w:color w:val="auto"/>
              </w:rPr>
              <w:t>2006</w:t>
            </w:r>
          </w:p>
        </w:tc>
        <w:tc>
          <w:tcPr>
            <w:tcW w:w="28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20.4</w:t>
            </w:r>
          </w:p>
        </w:tc>
        <w:tc>
          <w:tcPr>
            <w:tcW w:w="200" w:type="dxa"/>
            <w:vAlign w:val="bottom"/>
            <w:shd w:val="clear" w:color="auto" w:fill="EEEEEE"/>
          </w:tcPr>
          <w:p>
            <w:pPr>
              <w:spacing w:after="0"/>
              <w:rPr>
                <w:sz w:val="16"/>
                <w:szCs w:val="16"/>
                <w:color w:val="auto"/>
              </w:rPr>
            </w:pPr>
          </w:p>
        </w:tc>
      </w:tr>
      <w:tr>
        <w:trPr>
          <w:trHeight w:val="191"/>
        </w:trPr>
        <w:tc>
          <w:tcPr>
            <w:tcW w:w="3440" w:type="dxa"/>
            <w:vAlign w:val="bottom"/>
          </w:tcPr>
          <w:p>
            <w:pPr>
              <w:spacing w:after="0"/>
              <w:rPr>
                <w:sz w:val="20"/>
                <w:szCs w:val="20"/>
                <w:color w:val="auto"/>
              </w:rPr>
            </w:pPr>
            <w:r>
              <w:rPr>
                <w:rFonts w:ascii="Arial" w:cs="Arial" w:eastAsia="Arial" w:hAnsi="Arial"/>
                <w:sz w:val="16"/>
                <w:szCs w:val="16"/>
                <w:color w:val="auto"/>
              </w:rPr>
              <w:t>2007</w:t>
            </w:r>
          </w:p>
        </w:tc>
        <w:tc>
          <w:tcPr>
            <w:tcW w:w="2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16"/>
                <w:szCs w:val="16"/>
                <w:color w:val="auto"/>
              </w:rPr>
            </w:pPr>
          </w:p>
        </w:tc>
      </w:tr>
      <w:tr>
        <w:trPr>
          <w:trHeight w:val="191"/>
        </w:trPr>
        <w:tc>
          <w:tcPr>
            <w:tcW w:w="3440" w:type="dxa"/>
            <w:vAlign w:val="bottom"/>
            <w:shd w:val="clear" w:color="auto" w:fill="EEEEEE"/>
          </w:tcPr>
          <w:p>
            <w:pPr>
              <w:spacing w:after="0"/>
              <w:rPr>
                <w:sz w:val="20"/>
                <w:szCs w:val="20"/>
                <w:color w:val="auto"/>
              </w:rPr>
            </w:pPr>
            <w:r>
              <w:rPr>
                <w:rFonts w:ascii="Arial" w:cs="Arial" w:eastAsia="Arial" w:hAnsi="Arial"/>
                <w:sz w:val="16"/>
                <w:szCs w:val="16"/>
                <w:color w:val="auto"/>
              </w:rPr>
              <w:t>2008</w:t>
            </w:r>
          </w:p>
        </w:tc>
        <w:tc>
          <w:tcPr>
            <w:tcW w:w="2860" w:type="dxa"/>
            <w:vAlign w:val="bottom"/>
            <w:shd w:val="clear" w:color="auto" w:fill="EEEEEE"/>
          </w:tcPr>
          <w:p>
            <w:pPr>
              <w:spacing w:after="0"/>
              <w:rPr>
                <w:sz w:val="16"/>
                <w:szCs w:val="16"/>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10.2</w:t>
            </w:r>
          </w:p>
        </w:tc>
        <w:tc>
          <w:tcPr>
            <w:tcW w:w="200" w:type="dxa"/>
            <w:vAlign w:val="bottom"/>
            <w:shd w:val="clear" w:color="auto" w:fill="EEEEEE"/>
          </w:tcPr>
          <w:p>
            <w:pPr>
              <w:spacing w:after="0"/>
              <w:rPr>
                <w:sz w:val="16"/>
                <w:szCs w:val="16"/>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6"/>
                <w:szCs w:val="16"/>
                <w:color w:val="auto"/>
              </w:rPr>
              <w:t>Thereafter</w:t>
            </w:r>
          </w:p>
        </w:tc>
        <w:tc>
          <w:tcPr>
            <w:tcW w:w="28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Pr>
          <w:p>
            <w:pPr>
              <w:spacing w:after="0"/>
              <w:rPr>
                <w:sz w:val="17"/>
                <w:szCs w:val="17"/>
                <w:color w:val="auto"/>
              </w:rPr>
            </w:pPr>
          </w:p>
        </w:tc>
      </w:tr>
      <w:tr>
        <w:trPr>
          <w:trHeight w:val="90"/>
        </w:trPr>
        <w:tc>
          <w:tcPr>
            <w:tcW w:w="34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r>
      <w:tr>
        <w:trPr>
          <w:trHeight w:val="87"/>
        </w:trPr>
        <w:tc>
          <w:tcPr>
            <w:tcW w:w="34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r>
      <w:tr>
        <w:trPr>
          <w:trHeight w:val="191"/>
        </w:trPr>
        <w:tc>
          <w:tcPr>
            <w:tcW w:w="3440" w:type="dxa"/>
            <w:vAlign w:val="bottom"/>
            <w:shd w:val="clear" w:color="auto" w:fill="EEEEEE"/>
          </w:tcPr>
          <w:p>
            <w:pPr>
              <w:spacing w:after="0"/>
              <w:rPr>
                <w:sz w:val="16"/>
                <w:szCs w:val="16"/>
                <w:color w:val="auto"/>
              </w:rPr>
            </w:pPr>
          </w:p>
        </w:tc>
        <w:tc>
          <w:tcPr>
            <w:tcW w:w="28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170.7</w:t>
            </w:r>
          </w:p>
        </w:tc>
        <w:tc>
          <w:tcPr>
            <w:tcW w:w="200" w:type="dxa"/>
            <w:vAlign w:val="bottom"/>
            <w:shd w:val="clear" w:color="auto" w:fill="EEEEEE"/>
          </w:tcPr>
          <w:p>
            <w:pPr>
              <w:spacing w:after="0"/>
              <w:rPr>
                <w:sz w:val="16"/>
                <w:szCs w:val="16"/>
                <w:color w:val="auto"/>
              </w:rPr>
            </w:pPr>
          </w:p>
        </w:tc>
      </w:tr>
      <w:tr>
        <w:trPr>
          <w:trHeight w:val="127"/>
        </w:trPr>
        <w:tc>
          <w:tcPr>
            <w:tcW w:w="34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5669915</wp:posOffset>
            </wp:positionH>
            <wp:positionV relativeFrom="paragraph">
              <wp:posOffset>-34925</wp:posOffset>
            </wp:positionV>
            <wp:extent cx="12700" cy="355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-34925</wp:posOffset>
            </wp:positionV>
            <wp:extent cx="12700" cy="355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Litigation</w:t>
      </w:r>
    </w:p>
    <w:p>
      <w:pPr>
        <w:spacing w:after="0" w:line="222" w:lineRule="exact"/>
        <w:rPr>
          <w:sz w:val="20"/>
          <w:szCs w:val="20"/>
          <w:color w:val="auto"/>
        </w:rPr>
      </w:pPr>
    </w:p>
    <w:p>
      <w:pPr>
        <w:jc w:val="both"/>
        <w:ind w:left="5" w:firstLine="286"/>
        <w:spacing w:after="0" w:line="297" w:lineRule="auto"/>
        <w:rPr>
          <w:sz w:val="20"/>
          <w:szCs w:val="20"/>
          <w:color w:val="auto"/>
        </w:rPr>
      </w:pPr>
      <w:r>
        <w:rPr>
          <w:rFonts w:ascii="Arial" w:cs="Arial" w:eastAsia="Arial" w:hAnsi="Arial"/>
          <w:sz w:val="14"/>
          <w:szCs w:val="14"/>
          <w:color w:val="auto"/>
        </w:rPr>
        <w:t>The Company is involved in various claims and lawsuits incidental to its business. In addition, the Company and its subsidiary Heatcraft Inc. have been named in four lawsuits in connection with its former Heat Transfer operations. The lawsuits allege personal injury resulting from alleged emissions of trichloroethylene, dichloroethylene, and vinyl chloride and other unspecified emissions from the South Plant in Grenada, Mississippi, previously owned by Heatcraft Inc. It is not possible to predict with certainty the outcome of these matters or an estimate of any potential loss; however, based on present knowledge, management believes that it is unlikely that resolution of these matters will result in a material liability for the Company. As of December 31, 2003, no accrual has been made for these matters.</w:t>
      </w:r>
    </w:p>
    <w:p>
      <w:pPr>
        <w:spacing w:after="0" w:line="363"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Guarantees</w:t>
      </w:r>
    </w:p>
    <w:p>
      <w:pPr>
        <w:spacing w:after="0" w:line="222" w:lineRule="exact"/>
        <w:rPr>
          <w:sz w:val="20"/>
          <w:szCs w:val="20"/>
          <w:color w:val="auto"/>
        </w:rPr>
      </w:pPr>
    </w:p>
    <w:p>
      <w:pPr>
        <w:ind w:left="5" w:right="420" w:firstLine="286"/>
        <w:spacing w:after="0" w:line="331" w:lineRule="auto"/>
        <w:rPr>
          <w:sz w:val="20"/>
          <w:szCs w:val="20"/>
          <w:color w:val="auto"/>
        </w:rPr>
      </w:pPr>
      <w:r>
        <w:rPr>
          <w:rFonts w:ascii="Arial" w:cs="Arial" w:eastAsia="Arial" w:hAnsi="Arial"/>
          <w:sz w:val="13"/>
          <w:szCs w:val="13"/>
          <w:color w:val="auto"/>
        </w:rPr>
        <w:t>The Company has issued guarantees to third parties in conjunction with the sale of Company assets and divestiture of businesses. These guarantees indemnify the respective buyers against certain liabilities that may arise in connection with the sales transactions and business activities prior to the closing of the sale. These indemnification obligations typically pertain to breach of representations and warranties and environmental and tax liabilities. Liabilities recognized at December 31, 2003 related to these guarantees are approximately $3.5 million. The maximum obligation under these guaranties is not determinable. No assets are held as collateral and no specific recourse provisions exist.</w:t>
      </w:r>
    </w:p>
    <w:p>
      <w:pPr>
        <w:spacing w:after="0" w:line="338" w:lineRule="exact"/>
        <w:rPr>
          <w:sz w:val="20"/>
          <w:szCs w:val="20"/>
          <w:color w:val="auto"/>
        </w:rPr>
      </w:pPr>
    </w:p>
    <w:p>
      <w:pPr>
        <w:ind w:left="565" w:hanging="565"/>
        <w:spacing w:after="0"/>
        <w:tabs>
          <w:tab w:leader="none" w:pos="565"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28" w:lineRule="exact"/>
        <w:rPr>
          <w:sz w:val="20"/>
          <w:szCs w:val="20"/>
          <w:color w:val="auto"/>
        </w:rPr>
      </w:pPr>
    </w:p>
    <w:p>
      <w:pPr>
        <w:jc w:val="both"/>
        <w:ind w:left="5" w:right="220" w:firstLine="286"/>
        <w:spacing w:after="0" w:line="256" w:lineRule="auto"/>
        <w:rPr>
          <w:sz w:val="20"/>
          <w:szCs w:val="20"/>
          <w:color w:val="auto"/>
        </w:rPr>
      </w:pPr>
      <w:r>
        <w:rPr>
          <w:rFonts w:ascii="Arial" w:cs="Arial" w:eastAsia="Arial" w:hAnsi="Arial"/>
          <w:sz w:val="16"/>
          <w:szCs w:val="16"/>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As of December 31, 2003, the</w:t>
      </w:r>
    </w:p>
    <w:p>
      <w:pPr>
        <w:spacing w:after="0" w:line="175"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5"/>
          </w:cols>
          <w:pgMar w:left="235" w:top="386" w:right="259" w:bottom="1440" w:gutter="0" w:footer="0" w:header="0"/>
        </w:sectPr>
      </w:pPr>
    </w:p>
    <w:bookmarkStart w:id="74" w:name="page75"/>
    <w:bookmarkEnd w:id="74"/>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4"/>
          <w:szCs w:val="14"/>
          <w:color w:val="auto"/>
        </w:rPr>
        <w:t>Company had 62,119,256 shares outstanding of which 3,043,916 were held as treasury shares. Diluted earnings per share are computed as follows (in millions, except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1145" w:type="dxa"/>
        <w:tblCellMar>
          <w:top w:w="0" w:type="dxa"/>
          <w:left w:w="0" w:type="dxa"/>
          <w:bottom w:w="0" w:type="dxa"/>
          <w:right w:w="0" w:type="dxa"/>
        </w:tblCellMar>
      </w:tblPr>
      <w:tr>
        <w:trPr>
          <w:trHeight w:val="154"/>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w w:val="89"/>
              </w:rPr>
              <w:t>Years Ended December 31,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83"/>
        </w:trPr>
        <w:tc>
          <w:tcPr>
            <w:tcW w:w="59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r>
      <w:tr>
        <w:trPr>
          <w:trHeight w:val="208"/>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ind w:left="360"/>
              <w:spacing w:after="0"/>
              <w:rPr>
                <w:sz w:val="20"/>
                <w:szCs w:val="20"/>
                <w:color w:val="auto"/>
              </w:rPr>
            </w:pPr>
            <w:r>
              <w:rPr>
                <w:rFonts w:ascii="Arial" w:cs="Arial" w:eastAsia="Arial" w:hAnsi="Arial"/>
                <w:sz w:val="12"/>
                <w:szCs w:val="12"/>
                <w:b w:val="1"/>
                <w:bCs w:val="1"/>
                <w:color w:val="auto"/>
              </w:rPr>
              <w:t>Restated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54"/>
        </w:trPr>
        <w:tc>
          <w:tcPr>
            <w:tcW w:w="598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2003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ind w:right="65"/>
              <w:spacing w:after="0"/>
              <w:rPr>
                <w:sz w:val="20"/>
                <w:szCs w:val="20"/>
                <w:color w:val="auto"/>
              </w:rPr>
            </w:pPr>
            <w:r>
              <w:rPr>
                <w:rFonts w:ascii="Arial" w:cs="Arial" w:eastAsia="Arial" w:hAnsi="Arial"/>
                <w:sz w:val="12"/>
                <w:szCs w:val="12"/>
                <w:b w:val="1"/>
                <w:bCs w:val="1"/>
                <w:color w:val="auto"/>
                <w:w w:val="97"/>
              </w:rPr>
              <w:t>2002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2001</w:t>
            </w:r>
          </w:p>
        </w:tc>
        <w:tc>
          <w:tcPr>
            <w:tcW w:w="260" w:type="dxa"/>
            <w:vAlign w:val="bottom"/>
          </w:tcPr>
          <w:p>
            <w:pPr>
              <w:spacing w:after="0"/>
              <w:rPr>
                <w:sz w:val="13"/>
                <w:szCs w:val="13"/>
                <w:color w:val="auto"/>
              </w:rPr>
            </w:pPr>
          </w:p>
        </w:tc>
      </w:tr>
      <w:tr>
        <w:trPr>
          <w:trHeight w:val="83"/>
        </w:trPr>
        <w:tc>
          <w:tcPr>
            <w:tcW w:w="59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r>
      <w:tr>
        <w:trPr>
          <w:trHeight w:val="87"/>
        </w:trPr>
        <w:tc>
          <w:tcPr>
            <w:tcW w:w="5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91"/>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w:t>
            </w:r>
          </w:p>
        </w:tc>
        <w:tc>
          <w:tcPr>
            <w:tcW w:w="4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$84.4</w:t>
            </w:r>
          </w:p>
        </w:tc>
        <w:tc>
          <w:tcPr>
            <w:tcW w:w="160" w:type="dxa"/>
            <w:vAlign w:val="bottom"/>
            <w:shd w:val="clear" w:color="auto" w:fill="EEEEEE"/>
          </w:tcPr>
          <w:p>
            <w:pPr>
              <w:spacing w:after="0"/>
              <w:rPr>
                <w:sz w:val="16"/>
                <w:szCs w:val="16"/>
                <w:color w:val="auto"/>
              </w:rPr>
            </w:pPr>
          </w:p>
        </w:tc>
        <w:tc>
          <w:tcPr>
            <w:tcW w:w="680" w:type="dxa"/>
            <w:vAlign w:val="bottom"/>
            <w:gridSpan w:val="2"/>
            <w:shd w:val="clear" w:color="auto" w:fill="EEEEEE"/>
          </w:tcPr>
          <w:p>
            <w:pPr>
              <w:ind w:left="60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w w:val="86"/>
              </w:rPr>
              <w:t>(205.0)</w:t>
            </w:r>
          </w:p>
        </w:tc>
        <w:tc>
          <w:tcPr>
            <w:tcW w:w="260" w:type="dxa"/>
            <w:vAlign w:val="bottom"/>
            <w:shd w:val="clear" w:color="auto" w:fill="EEEEEE"/>
          </w:tcPr>
          <w:p>
            <w:pPr>
              <w:spacing w:after="0"/>
              <w:rPr>
                <w:sz w:val="16"/>
                <w:szCs w:val="16"/>
                <w:color w:val="auto"/>
              </w:rPr>
            </w:pPr>
          </w:p>
        </w:tc>
        <w:tc>
          <w:tcPr>
            <w:tcW w:w="860" w:type="dxa"/>
            <w:vAlign w:val="bottom"/>
            <w:gridSpan w:val="4"/>
            <w:shd w:val="clear" w:color="auto" w:fill="EEEEEE"/>
          </w:tcPr>
          <w:p>
            <w:pPr>
              <w:jc w:val="right"/>
              <w:ind w:right="200"/>
              <w:spacing w:after="0"/>
              <w:rPr>
                <w:sz w:val="20"/>
                <w:szCs w:val="20"/>
                <w:color w:val="auto"/>
              </w:rPr>
            </w:pPr>
            <w:r>
              <w:rPr>
                <w:rFonts w:ascii="Arial" w:cs="Arial" w:eastAsia="Arial" w:hAnsi="Arial"/>
                <w:sz w:val="16"/>
                <w:szCs w:val="16"/>
                <w:color w:val="auto"/>
              </w:rPr>
              <w:t>$(42.4)</w:t>
            </w:r>
          </w:p>
        </w:tc>
      </w:tr>
      <w:tr>
        <w:trPr>
          <w:trHeight w:val="127"/>
        </w:trPr>
        <w:tc>
          <w:tcPr>
            <w:tcW w:w="5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r>
      <w:tr>
        <w:trPr>
          <w:trHeight w:val="281"/>
        </w:trPr>
        <w:tc>
          <w:tcPr>
            <w:tcW w:w="5980" w:type="dxa"/>
            <w:vAlign w:val="bottom"/>
          </w:tcPr>
          <w:p>
            <w:pPr>
              <w:spacing w:after="0"/>
              <w:rPr>
                <w:sz w:val="20"/>
                <w:szCs w:val="20"/>
                <w:color w:val="auto"/>
              </w:rPr>
            </w:pPr>
            <w:r>
              <w:rPr>
                <w:rFonts w:ascii="Arial" w:cs="Arial" w:eastAsia="Arial" w:hAnsi="Arial"/>
                <w:sz w:val="16"/>
                <w:szCs w:val="16"/>
                <w:color w:val="auto"/>
              </w:rPr>
              <w:t>Weighted average shares outstanding</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58.4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56.2</w:t>
            </w:r>
          </w:p>
        </w:tc>
        <w:tc>
          <w:tcPr>
            <w:tcW w:w="260" w:type="dxa"/>
            <w:vAlign w:val="bottom"/>
          </w:tcPr>
          <w:p>
            <w:pPr>
              <w:spacing w:after="0"/>
              <w:rPr>
                <w:sz w:val="24"/>
                <w:szCs w:val="24"/>
                <w:color w:val="auto"/>
              </w:rPr>
            </w:pPr>
          </w:p>
        </w:tc>
      </w:tr>
      <w:tr>
        <w:trPr>
          <w:trHeight w:val="192"/>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w w:val="98"/>
              </w:rPr>
              <w:t>Effect of diluted securities attributable to stock options and performance share awards</w:t>
            </w:r>
          </w:p>
        </w:tc>
        <w:tc>
          <w:tcPr>
            <w:tcW w:w="4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w:t>
            </w:r>
          </w:p>
        </w:tc>
        <w:tc>
          <w:tcPr>
            <w:tcW w:w="1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80" w:type="dxa"/>
            <w:vAlign w:val="bottom"/>
            <w:gridSpan w:val="2"/>
            <w:shd w:val="clear" w:color="auto" w:fill="EEEEEE"/>
          </w:tcPr>
          <w:p>
            <w:pPr>
              <w:jc w:val="right"/>
              <w:ind w:right="260"/>
              <w:spacing w:after="0"/>
              <w:rPr>
                <w:sz w:val="20"/>
                <w:szCs w:val="20"/>
                <w:color w:val="auto"/>
              </w:rPr>
            </w:pPr>
            <w:r>
              <w:rPr>
                <w:rFonts w:ascii="Arial" w:cs="Arial" w:eastAsia="Arial" w:hAnsi="Arial"/>
                <w:sz w:val="16"/>
                <w:szCs w:val="16"/>
                <w:color w:val="auto"/>
              </w:rPr>
              <w:t>—</w:t>
            </w:r>
          </w:p>
        </w:tc>
      </w:tr>
      <w:tr>
        <w:trPr>
          <w:trHeight w:val="95"/>
        </w:trPr>
        <w:tc>
          <w:tcPr>
            <w:tcW w:w="59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r>
      <w:tr>
        <w:trPr>
          <w:trHeight w:val="276"/>
        </w:trPr>
        <w:tc>
          <w:tcPr>
            <w:tcW w:w="5980" w:type="dxa"/>
            <w:vAlign w:val="bottom"/>
          </w:tcPr>
          <w:p>
            <w:pPr>
              <w:spacing w:after="0"/>
              <w:rPr>
                <w:sz w:val="20"/>
                <w:szCs w:val="20"/>
                <w:color w:val="auto"/>
              </w:rPr>
            </w:pPr>
            <w:r>
              <w:rPr>
                <w:rFonts w:ascii="Arial" w:cs="Arial" w:eastAsia="Arial" w:hAnsi="Arial"/>
                <w:sz w:val="16"/>
                <w:szCs w:val="16"/>
                <w:color w:val="auto"/>
              </w:rPr>
              <w:t>Weighted average shares outstanding, as adjusted</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60.4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56.2</w:t>
            </w:r>
          </w:p>
        </w:tc>
        <w:tc>
          <w:tcPr>
            <w:tcW w:w="260" w:type="dxa"/>
            <w:vAlign w:val="bottom"/>
          </w:tcPr>
          <w:p>
            <w:pPr>
              <w:spacing w:after="0"/>
              <w:rPr>
                <w:sz w:val="24"/>
                <w:szCs w:val="24"/>
                <w:color w:val="auto"/>
              </w:rPr>
            </w:pPr>
          </w:p>
        </w:tc>
      </w:tr>
      <w:tr>
        <w:trPr>
          <w:trHeight w:val="97"/>
        </w:trPr>
        <w:tc>
          <w:tcPr>
            <w:tcW w:w="5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r>
      <w:tr>
        <w:trPr>
          <w:trHeight w:val="87"/>
        </w:trPr>
        <w:tc>
          <w:tcPr>
            <w:tcW w:w="5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r>
      <w:tr>
        <w:trPr>
          <w:trHeight w:val="191"/>
        </w:trPr>
        <w:tc>
          <w:tcPr>
            <w:tcW w:w="5980" w:type="dxa"/>
            <w:vAlign w:val="bottom"/>
            <w:shd w:val="clear" w:color="auto" w:fill="EEEEEE"/>
          </w:tcPr>
          <w:p>
            <w:pPr>
              <w:spacing w:after="0"/>
              <w:rPr>
                <w:sz w:val="20"/>
                <w:szCs w:val="20"/>
                <w:color w:val="auto"/>
              </w:rPr>
            </w:pPr>
            <w:r>
              <w:rPr>
                <w:rFonts w:ascii="Arial" w:cs="Arial" w:eastAsia="Arial" w:hAnsi="Arial"/>
                <w:sz w:val="16"/>
                <w:szCs w:val="16"/>
                <w:color w:val="auto"/>
              </w:rPr>
              <w:t>Diluted earnings (loss) per share</w:t>
            </w:r>
          </w:p>
        </w:tc>
        <w:tc>
          <w:tcPr>
            <w:tcW w:w="4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EEEEEE"/>
          </w:tcPr>
          <w:p>
            <w:pPr>
              <w:spacing w:after="0"/>
              <w:rPr>
                <w:sz w:val="16"/>
                <w:szCs w:val="16"/>
                <w:color w:val="auto"/>
              </w:rPr>
            </w:pPr>
          </w:p>
        </w:tc>
        <w:tc>
          <w:tcPr>
            <w:tcW w:w="680" w:type="dxa"/>
            <w:vAlign w:val="bottom"/>
            <w:gridSpan w:val="2"/>
            <w:shd w:val="clear" w:color="auto" w:fill="EEEEEE"/>
          </w:tcPr>
          <w:p>
            <w:pPr>
              <w:ind w:left="60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(3.48)</w:t>
            </w:r>
          </w:p>
        </w:tc>
        <w:tc>
          <w:tcPr>
            <w:tcW w:w="260" w:type="dxa"/>
            <w:vAlign w:val="bottom"/>
            <w:shd w:val="clear" w:color="auto" w:fill="EEEEEE"/>
          </w:tcPr>
          <w:p>
            <w:pPr>
              <w:spacing w:after="0"/>
              <w:rPr>
                <w:sz w:val="16"/>
                <w:szCs w:val="16"/>
                <w:color w:val="auto"/>
              </w:rPr>
            </w:pPr>
          </w:p>
        </w:tc>
        <w:tc>
          <w:tcPr>
            <w:tcW w:w="860" w:type="dxa"/>
            <w:vAlign w:val="bottom"/>
            <w:gridSpan w:val="4"/>
            <w:shd w:val="clear" w:color="auto" w:fill="EEEEEE"/>
          </w:tcPr>
          <w:p>
            <w:pPr>
              <w:jc w:val="right"/>
              <w:ind w:right="200"/>
              <w:spacing w:after="0"/>
              <w:rPr>
                <w:sz w:val="20"/>
                <w:szCs w:val="20"/>
                <w:color w:val="auto"/>
              </w:rPr>
            </w:pPr>
            <w:r>
              <w:rPr>
                <w:rFonts w:ascii="Arial" w:cs="Arial" w:eastAsia="Arial" w:hAnsi="Arial"/>
                <w:sz w:val="16"/>
                <w:szCs w:val="16"/>
                <w:color w:val="auto"/>
              </w:rPr>
              <w:t>$(0.75)</w:t>
            </w:r>
          </w:p>
        </w:tc>
      </w:tr>
      <w:tr>
        <w:trPr>
          <w:trHeight w:val="127"/>
        </w:trPr>
        <w:tc>
          <w:tcPr>
            <w:tcW w:w="5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-928370</wp:posOffset>
            </wp:positionV>
            <wp:extent cx="12700" cy="355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-928370</wp:posOffset>
            </wp:positionV>
            <wp:extent cx="12700" cy="35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-928370</wp:posOffset>
            </wp:positionV>
            <wp:extent cx="12700" cy="35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-928370</wp:posOffset>
            </wp:positionV>
            <wp:extent cx="12700" cy="355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-928370</wp:posOffset>
            </wp:positionV>
            <wp:extent cx="12700" cy="355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-928370</wp:posOffset>
            </wp:positionV>
            <wp:extent cx="12700" cy="355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-34925</wp:posOffset>
            </wp:positionV>
            <wp:extent cx="12700" cy="355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-34925</wp:posOffset>
            </wp:positionV>
            <wp:extent cx="12700" cy="355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-34925</wp:posOffset>
            </wp:positionV>
            <wp:extent cx="12700" cy="355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-34925</wp:posOffset>
            </wp:positionV>
            <wp:extent cx="12700" cy="35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-34925</wp:posOffset>
            </wp:positionV>
            <wp:extent cx="12700" cy="355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6154420</wp:posOffset>
            </wp:positionH>
            <wp:positionV relativeFrom="paragraph">
              <wp:posOffset>-34925</wp:posOffset>
            </wp:positionV>
            <wp:extent cx="12700" cy="355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5" w:right="80" w:firstLine="286"/>
        <w:spacing w:after="0" w:line="297" w:lineRule="auto"/>
        <w:rPr>
          <w:sz w:val="20"/>
          <w:szCs w:val="20"/>
          <w:color w:val="auto"/>
        </w:rPr>
      </w:pPr>
      <w:r>
        <w:rPr>
          <w:rFonts w:ascii="Arial" w:cs="Arial" w:eastAsia="Arial" w:hAnsi="Arial"/>
          <w:sz w:val="14"/>
          <w:szCs w:val="14"/>
          <w:color w:val="auto"/>
        </w:rPr>
        <w:t>Options to purchase 2,699,089 shares of Common Stock at prices ranging from $15.59 to $49.63 per share, options to purchase 5,542,241 shares of Common Stock at prices ranging from $13.21 to $49.63 per share and 4,528,180 shares of Common Stock at prices ranging from $10.31 to $49.63 per share were outstanding for the years ended December 31, 2003, 2002 and 2001, respectively, but were not included in the diluted earnings per share calculation because the assumed exercise of such options would have been anti-dilutive. The Company’s convertible notes were not considered in the diluted earnings per share calculation because the conversion of such notes is contingent upon certain conversion criteria having been met (see Note 9). The Notes are convertible into approximately 8.0 million shares.</w:t>
      </w:r>
    </w:p>
    <w:p>
      <w:pPr>
        <w:spacing w:after="0" w:line="357" w:lineRule="exact"/>
        <w:rPr>
          <w:sz w:val="20"/>
          <w:szCs w:val="20"/>
          <w:color w:val="auto"/>
        </w:rPr>
      </w:pPr>
    </w:p>
    <w:p>
      <w:pPr>
        <w:ind w:left="565" w:hanging="565"/>
        <w:spacing w:after="0"/>
        <w:tabs>
          <w:tab w:leader="none" w:pos="56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Restated Quarterly Financial Information </w:t>
      </w:r>
      <w:r>
        <w:rPr>
          <w:rFonts w:ascii="Arial" w:cs="Arial" w:eastAsia="Arial" w:hAnsi="Arial"/>
          <w:sz w:val="16"/>
          <w:szCs w:val="16"/>
          <w:color w:val="auto"/>
        </w:rPr>
        <w:t>(unaudited):</w:t>
      </w:r>
    </w:p>
    <w:p>
      <w:pPr>
        <w:spacing w:after="0" w:line="228" w:lineRule="exact"/>
        <w:rPr>
          <w:sz w:val="20"/>
          <w:szCs w:val="20"/>
          <w:color w:val="auto"/>
        </w:rPr>
      </w:pPr>
    </w:p>
    <w:p>
      <w:pPr>
        <w:ind w:left="5" w:right="360" w:firstLine="286"/>
        <w:spacing w:after="0" w:line="264" w:lineRule="auto"/>
        <w:rPr>
          <w:sz w:val="20"/>
          <w:szCs w:val="20"/>
          <w:color w:val="auto"/>
        </w:rPr>
      </w:pPr>
      <w:r>
        <w:rPr>
          <w:rFonts w:ascii="Arial" w:cs="Arial" w:eastAsia="Arial" w:hAnsi="Arial"/>
          <w:sz w:val="16"/>
          <w:szCs w:val="16"/>
          <w:color w:val="auto"/>
        </w:rPr>
        <w:t>The selected quarterly financial data presented below have been restated from the information previously presented in our Form 10-Qs for the applicable periods to reflect the adjustments described in Note 3.</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w w:val="90"/>
              </w:rPr>
              <w:t>2003 — As restated (a)</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83"/>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gridSpan w:val="2"/>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208"/>
        </w:trPr>
        <w:tc>
          <w:tcPr>
            <w:tcW w:w="5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244"/>
              <w:spacing w:after="0"/>
              <w:rPr>
                <w:sz w:val="20"/>
                <w:szCs w:val="20"/>
                <w:color w:val="auto"/>
              </w:rPr>
            </w:pPr>
            <w:r>
              <w:rPr>
                <w:rFonts w:ascii="Arial" w:cs="Arial" w:eastAsia="Arial" w:hAnsi="Arial"/>
                <w:sz w:val="12"/>
                <w:szCs w:val="12"/>
                <w:b w:val="1"/>
                <w:bCs w:val="1"/>
                <w:color w:val="auto"/>
              </w:rPr>
              <w:t>First</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Second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Third</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b w:val="1"/>
                <w:bCs w:val="1"/>
                <w:color w:val="auto"/>
              </w:rPr>
              <w:t>Fourth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54"/>
        </w:trPr>
        <w:tc>
          <w:tcPr>
            <w:tcW w:w="5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00" w:type="dxa"/>
            <w:vAlign w:val="bottom"/>
            <w:gridSpan w:val="2"/>
          </w:tcPr>
          <w:p>
            <w:pPr>
              <w:jc w:val="right"/>
              <w:ind w:right="164"/>
              <w:spacing w:after="0"/>
              <w:rPr>
                <w:sz w:val="20"/>
                <w:szCs w:val="20"/>
                <w:color w:val="auto"/>
              </w:rPr>
            </w:pPr>
            <w:r>
              <w:rPr>
                <w:rFonts w:ascii="Arial" w:cs="Arial" w:eastAsia="Arial" w:hAnsi="Arial"/>
                <w:sz w:val="12"/>
                <w:szCs w:val="12"/>
                <w:b w:val="1"/>
                <w:bCs w:val="1"/>
                <w:color w:val="auto"/>
              </w:rPr>
              <w:t>Quarter</w:t>
            </w:r>
          </w:p>
        </w:tc>
        <w:tc>
          <w:tcPr>
            <w:tcW w:w="2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Quarter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6"/>
              </w:rPr>
              <w:t>Quarter</w:t>
            </w:r>
          </w:p>
        </w:tc>
        <w:tc>
          <w:tcPr>
            <w:tcW w:w="900" w:type="dxa"/>
            <w:vAlign w:val="bottom"/>
            <w:gridSpan w:val="2"/>
          </w:tcPr>
          <w:p>
            <w:pPr>
              <w:jc w:val="right"/>
              <w:ind w:right="162"/>
              <w:spacing w:after="0"/>
              <w:rPr>
                <w:sz w:val="20"/>
                <w:szCs w:val="20"/>
                <w:color w:val="auto"/>
              </w:rPr>
            </w:pPr>
            <w:r>
              <w:rPr>
                <w:rFonts w:ascii="Arial" w:cs="Arial" w:eastAsia="Arial" w:hAnsi="Arial"/>
                <w:sz w:val="12"/>
                <w:szCs w:val="12"/>
                <w:b w:val="1"/>
                <w:bCs w:val="1"/>
                <w:color w:val="auto"/>
              </w:rPr>
              <w:t>Quarter</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45"/>
              <w:spacing w:after="0"/>
              <w:rPr>
                <w:sz w:val="20"/>
                <w:szCs w:val="20"/>
                <w:color w:val="auto"/>
              </w:rPr>
            </w:pPr>
            <w:r>
              <w:rPr>
                <w:rFonts w:ascii="Arial" w:cs="Arial" w:eastAsia="Arial" w:hAnsi="Arial"/>
                <w:sz w:val="12"/>
                <w:szCs w:val="12"/>
                <w:b w:val="1"/>
                <w:bCs w:val="1"/>
                <w:color w:val="auto"/>
                <w:w w:val="97"/>
              </w:rPr>
              <w:t>Total</w:t>
            </w:r>
          </w:p>
        </w:tc>
        <w:tc>
          <w:tcPr>
            <w:tcW w:w="580" w:type="dxa"/>
            <w:vAlign w:val="bottom"/>
          </w:tcPr>
          <w:p>
            <w:pPr>
              <w:spacing w:after="0"/>
              <w:rPr>
                <w:sz w:val="13"/>
                <w:szCs w:val="13"/>
                <w:color w:val="auto"/>
              </w:rPr>
            </w:pPr>
          </w:p>
        </w:tc>
      </w:tr>
      <w:tr>
        <w:trPr>
          <w:trHeight w:val="83"/>
        </w:trPr>
        <w:tc>
          <w:tcPr>
            <w:tcW w:w="56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r>
      <w:tr>
        <w:trPr>
          <w:trHeight w:val="219"/>
        </w:trPr>
        <w:tc>
          <w:tcPr>
            <w:tcW w:w="5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gridSpan w:val="7"/>
          </w:tcPr>
          <w:p>
            <w:pPr>
              <w:jc w:val="center"/>
              <w:ind w:right="422"/>
              <w:spacing w:after="0"/>
              <w:rPr>
                <w:sz w:val="20"/>
                <w:szCs w:val="20"/>
                <w:color w:val="auto"/>
              </w:rPr>
            </w:pPr>
            <w:r>
              <w:rPr>
                <w:rFonts w:ascii="Arial" w:cs="Arial" w:eastAsia="Arial" w:hAnsi="Arial"/>
                <w:sz w:val="12"/>
                <w:szCs w:val="12"/>
                <w:b w:val="1"/>
                <w:bCs w:val="1"/>
                <w:color w:val="auto"/>
                <w:w w:val="87"/>
              </w:rPr>
              <w:t>(in millions, except per share amounts)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1"/>
        </w:trPr>
        <w:tc>
          <w:tcPr>
            <w:tcW w:w="560" w:type="dxa"/>
            <w:vAlign w:val="bottom"/>
          </w:tcPr>
          <w:p>
            <w:pPr>
              <w:spacing w:after="0"/>
              <w:rPr>
                <w:sz w:val="16"/>
                <w:szCs w:val="16"/>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648.7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817.5</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838.4</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w w:val="84"/>
              </w:rPr>
              <w:t>780.5</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w w:val="82"/>
              </w:rPr>
              <w:t>3,085.1</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210.4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274.4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276.1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2"/>
              <w:spacing w:after="0"/>
              <w:rPr>
                <w:sz w:val="20"/>
                <w:szCs w:val="20"/>
                <w:color w:val="auto"/>
              </w:rPr>
            </w:pPr>
            <w:r>
              <w:rPr>
                <w:rFonts w:ascii="Arial" w:cs="Arial" w:eastAsia="Arial" w:hAnsi="Arial"/>
                <w:sz w:val="16"/>
                <w:szCs w:val="16"/>
                <w:color w:val="auto"/>
                <w:w w:val="84"/>
              </w:rPr>
              <w:t>256.3</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85"/>
              <w:spacing w:after="0"/>
              <w:rPr>
                <w:sz w:val="20"/>
                <w:szCs w:val="20"/>
                <w:color w:val="auto"/>
              </w:rPr>
            </w:pPr>
            <w:r>
              <w:rPr>
                <w:rFonts w:ascii="Arial" w:cs="Arial" w:eastAsia="Arial" w:hAnsi="Arial"/>
                <w:sz w:val="16"/>
                <w:szCs w:val="16"/>
                <w:color w:val="auto"/>
                <w:w w:val="82"/>
              </w:rPr>
              <w:t>1,017.2</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2.3</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rPr>
              <w:t>19.6</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rPr>
              <w:t>84.4</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Per common share:</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6"/>
                <w:szCs w:val="16"/>
                <w:color w:val="auto"/>
              </w:rPr>
              <w:t>Basic earnings</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.04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.52</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.55</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rPr>
              <w:t>.33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rPr>
              <w:t>1.45</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Diluted earnings</w:t>
            </w: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2"/>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85"/>
              <w:spacing w:after="0"/>
              <w:rPr>
                <w:sz w:val="20"/>
                <w:szCs w:val="20"/>
                <w:color w:val="auto"/>
              </w:rPr>
            </w:pPr>
            <w:r>
              <w:rPr>
                <w:rFonts w:ascii="Arial" w:cs="Arial" w:eastAsia="Arial" w:hAnsi="Arial"/>
                <w:sz w:val="16"/>
                <w:szCs w:val="16"/>
                <w:color w:val="auto"/>
              </w:rPr>
              <w:t>1.40</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6"/>
                <w:szCs w:val="16"/>
                <w:color w:val="auto"/>
              </w:rPr>
              <w:t>Dividends</w:t>
            </w: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.095</w:t>
            </w: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rPr>
              <w:t>.38</w:t>
            </w: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Stock price per share:</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560" w:type="dxa"/>
            <w:vAlign w:val="bottom"/>
          </w:tcPr>
          <w:p>
            <w:pPr>
              <w:spacing w:after="0"/>
              <w:rPr>
                <w:sz w:val="16"/>
                <w:szCs w:val="16"/>
                <w:color w:val="auto"/>
              </w:rPr>
            </w:pPr>
          </w:p>
        </w:tc>
        <w:tc>
          <w:tcPr>
            <w:tcW w:w="45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High</w:t>
            </w: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15.00</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15.24</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16.54</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w w:val="84"/>
              </w:rPr>
              <w:t>17.60</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560" w:type="dxa"/>
            <w:vAlign w:val="bottom"/>
          </w:tcPr>
          <w:p>
            <w:pPr>
              <w:spacing w:after="0"/>
              <w:rPr>
                <w:sz w:val="17"/>
                <w:szCs w:val="17"/>
                <w:color w:val="auto"/>
              </w:rPr>
            </w:pPr>
          </w:p>
        </w:tc>
        <w:tc>
          <w:tcPr>
            <w:tcW w:w="4580" w:type="dxa"/>
            <w:vAlign w:val="bottom"/>
          </w:tcPr>
          <w:p>
            <w:pPr>
              <w:ind w:left="260"/>
              <w:spacing w:after="0"/>
              <w:rPr>
                <w:sz w:val="20"/>
                <w:szCs w:val="20"/>
                <w:color w:val="auto"/>
              </w:rPr>
            </w:pPr>
            <w:r>
              <w:rPr>
                <w:rFonts w:ascii="Arial" w:cs="Arial" w:eastAsia="Arial" w:hAnsi="Arial"/>
                <w:sz w:val="16"/>
                <w:szCs w:val="16"/>
                <w:color w:val="auto"/>
              </w:rPr>
              <w:t>Low</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11.90</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4"/>
              </w:rPr>
              <w:t>12.56</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12.47</w:t>
            </w:r>
          </w:p>
        </w:tc>
        <w:tc>
          <w:tcPr>
            <w:tcW w:w="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2"/>
              <w:spacing w:after="0"/>
              <w:rPr>
                <w:sz w:val="20"/>
                <w:szCs w:val="20"/>
                <w:color w:val="auto"/>
              </w:rPr>
            </w:pPr>
            <w:r>
              <w:rPr>
                <w:rFonts w:ascii="Arial" w:cs="Arial" w:eastAsia="Arial" w:hAnsi="Arial"/>
                <w:sz w:val="16"/>
                <w:szCs w:val="16"/>
                <w:color w:val="auto"/>
                <w:w w:val="84"/>
              </w:rPr>
              <w:t>14.51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75"/>
        </w:trPr>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164"/>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0"/>
        </w:trPr>
        <w:tc>
          <w:tcPr>
            <w:tcW w:w="560" w:type="dxa"/>
            <w:vAlign w:val="bottom"/>
            <w:tcBorders>
              <w:bottom w:val="single" w:sz="8" w:color="808080"/>
            </w:tcBorders>
          </w:tcPr>
          <w:p>
            <w:pPr>
              <w:spacing w:after="0"/>
              <w:rPr>
                <w:sz w:val="17"/>
                <w:szCs w:val="17"/>
                <w:color w:val="auto"/>
              </w:rPr>
            </w:pPr>
          </w:p>
        </w:tc>
        <w:tc>
          <w:tcPr>
            <w:tcW w:w="45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-13335</wp:posOffset>
            </wp:positionV>
            <wp:extent cx="1270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75" w:name="page76"/>
    <w:bookmarkEnd w:id="75"/>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565" w:type="dxa"/>
        <w:tblCellMar>
          <w:top w:w="0" w:type="dxa"/>
          <w:left w:w="0" w:type="dxa"/>
          <w:bottom w:w="0" w:type="dxa"/>
          <w:right w:w="0" w:type="dxa"/>
        </w:tblCellMar>
      </w:tblPr>
      <w:tr>
        <w:trPr>
          <w:trHeight w:val="154"/>
        </w:trPr>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jc w:val="center"/>
              <w:ind w:left="120"/>
              <w:spacing w:after="0"/>
              <w:rPr>
                <w:sz w:val="20"/>
                <w:szCs w:val="20"/>
                <w:color w:val="auto"/>
              </w:rPr>
            </w:pPr>
            <w:r>
              <w:rPr>
                <w:rFonts w:ascii="Arial" w:cs="Arial" w:eastAsia="Arial" w:hAnsi="Arial"/>
                <w:sz w:val="12"/>
                <w:szCs w:val="12"/>
                <w:b w:val="1"/>
                <w:bCs w:val="1"/>
                <w:color w:val="auto"/>
                <w:w w:val="89"/>
              </w:rPr>
              <w:t>2002 — As restated (b)</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83"/>
        </w:trPr>
        <w:tc>
          <w:tcPr>
            <w:tcW w:w="45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gridSpan w:val="2"/>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r>
      <w:tr>
        <w:trPr>
          <w:trHeight w:val="208"/>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64"/>
              <w:spacing w:after="0"/>
              <w:rPr>
                <w:sz w:val="20"/>
                <w:szCs w:val="20"/>
                <w:color w:val="auto"/>
              </w:rPr>
            </w:pPr>
            <w:r>
              <w:rPr>
                <w:rFonts w:ascii="Arial" w:cs="Arial" w:eastAsia="Arial" w:hAnsi="Arial"/>
                <w:sz w:val="12"/>
                <w:szCs w:val="12"/>
                <w:b w:val="1"/>
                <w:bCs w:val="1"/>
                <w:color w:val="auto"/>
              </w:rPr>
              <w:t>First</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Second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Third</w:t>
            </w:r>
          </w:p>
        </w:tc>
        <w:tc>
          <w:tcPr>
            <w:tcW w:w="900" w:type="dxa"/>
            <w:vAlign w:val="bottom"/>
            <w:gridSpan w:val="2"/>
          </w:tcPr>
          <w:p>
            <w:pPr>
              <w:jc w:val="right"/>
              <w:ind w:right="202"/>
              <w:spacing w:after="0"/>
              <w:rPr>
                <w:sz w:val="20"/>
                <w:szCs w:val="20"/>
                <w:color w:val="auto"/>
              </w:rPr>
            </w:pPr>
            <w:r>
              <w:rPr>
                <w:rFonts w:ascii="Arial" w:cs="Arial" w:eastAsia="Arial" w:hAnsi="Arial"/>
                <w:sz w:val="12"/>
                <w:szCs w:val="12"/>
                <w:b w:val="1"/>
                <w:bCs w:val="1"/>
                <w:color w:val="auto"/>
              </w:rPr>
              <w:t>Fourth</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54"/>
        </w:trPr>
        <w:tc>
          <w:tcPr>
            <w:tcW w:w="4560" w:type="dxa"/>
            <w:vAlign w:val="bottom"/>
          </w:tcPr>
          <w:p>
            <w:pPr>
              <w:spacing w:after="0"/>
              <w:rPr>
                <w:sz w:val="13"/>
                <w:szCs w:val="13"/>
                <w:color w:val="auto"/>
              </w:rPr>
            </w:pPr>
          </w:p>
        </w:tc>
        <w:tc>
          <w:tcPr>
            <w:tcW w:w="940" w:type="dxa"/>
            <w:vAlign w:val="bottom"/>
            <w:gridSpan w:val="2"/>
          </w:tcPr>
          <w:p>
            <w:pPr>
              <w:jc w:val="right"/>
              <w:ind w:right="184"/>
              <w:spacing w:after="0"/>
              <w:rPr>
                <w:sz w:val="20"/>
                <w:szCs w:val="20"/>
                <w:color w:val="auto"/>
              </w:rPr>
            </w:pPr>
            <w:r>
              <w:rPr>
                <w:rFonts w:ascii="Arial" w:cs="Arial" w:eastAsia="Arial" w:hAnsi="Arial"/>
                <w:sz w:val="12"/>
                <w:szCs w:val="12"/>
                <w:b w:val="1"/>
                <w:bCs w:val="1"/>
                <w:color w:val="auto"/>
              </w:rPr>
              <w:t>Quarter</w:t>
            </w:r>
          </w:p>
        </w:tc>
        <w:tc>
          <w:tcPr>
            <w:tcW w:w="2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Quarter</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6"/>
              </w:rPr>
              <w:t>Quarter</w:t>
            </w:r>
          </w:p>
        </w:tc>
        <w:tc>
          <w:tcPr>
            <w:tcW w:w="900" w:type="dxa"/>
            <w:vAlign w:val="bottom"/>
            <w:gridSpan w:val="2"/>
          </w:tcPr>
          <w:p>
            <w:pPr>
              <w:jc w:val="right"/>
              <w:ind w:right="162"/>
              <w:spacing w:after="0"/>
              <w:rPr>
                <w:sz w:val="20"/>
                <w:szCs w:val="20"/>
                <w:color w:val="auto"/>
              </w:rPr>
            </w:pPr>
            <w:r>
              <w:rPr>
                <w:rFonts w:ascii="Arial" w:cs="Arial" w:eastAsia="Arial" w:hAnsi="Arial"/>
                <w:sz w:val="12"/>
                <w:szCs w:val="12"/>
                <w:b w:val="1"/>
                <w:bCs w:val="1"/>
                <w:color w:val="auto"/>
              </w:rPr>
              <w:t>Quarter</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45"/>
              <w:spacing w:after="0"/>
              <w:rPr>
                <w:sz w:val="20"/>
                <w:szCs w:val="20"/>
                <w:color w:val="auto"/>
              </w:rPr>
            </w:pPr>
            <w:r>
              <w:rPr>
                <w:rFonts w:ascii="Arial" w:cs="Arial" w:eastAsia="Arial" w:hAnsi="Arial"/>
                <w:sz w:val="12"/>
                <w:szCs w:val="12"/>
                <w:b w:val="1"/>
                <w:bCs w:val="1"/>
                <w:color w:val="auto"/>
                <w:w w:val="97"/>
              </w:rPr>
              <w:t>Total</w:t>
            </w:r>
          </w:p>
        </w:tc>
      </w:tr>
      <w:tr>
        <w:trPr>
          <w:trHeight w:val="83"/>
        </w:trPr>
        <w:tc>
          <w:tcPr>
            <w:tcW w:w="45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Borders>
              <w:bottom w:val="single" w:sz="8" w:color="808080"/>
            </w:tcBorders>
            <w:gridSpan w:val="2"/>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r>
      <w:tr>
        <w:trPr>
          <w:trHeight w:val="219"/>
        </w:trPr>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gridSpan w:val="7"/>
          </w:tcPr>
          <w:p>
            <w:pPr>
              <w:jc w:val="center"/>
              <w:ind w:right="442"/>
              <w:spacing w:after="0"/>
              <w:rPr>
                <w:sz w:val="20"/>
                <w:szCs w:val="20"/>
                <w:color w:val="auto"/>
              </w:rPr>
            </w:pPr>
            <w:r>
              <w:rPr>
                <w:rFonts w:ascii="Arial" w:cs="Arial" w:eastAsia="Arial" w:hAnsi="Arial"/>
                <w:sz w:val="12"/>
                <w:szCs w:val="12"/>
                <w:b w:val="1"/>
                <w:bCs w:val="1"/>
                <w:color w:val="auto"/>
                <w:w w:val="88"/>
              </w:rPr>
              <w:t>(in millions, except per share amounts)</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1"/>
        </w:trPr>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99"/>
              </w:rPr>
              <w:t>674.3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828.1</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818.8</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w w:val="84"/>
              </w:rPr>
              <w:t>703.4</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w w:val="82"/>
              </w:rPr>
              <w:t>3,024.6</w:t>
            </w:r>
          </w:p>
        </w:tc>
      </w:tr>
      <w:tr>
        <w:trPr>
          <w:trHeight w:val="191"/>
        </w:trPr>
        <w:tc>
          <w:tcPr>
            <w:tcW w:w="456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6"/>
                <w:szCs w:val="16"/>
                <w:color w:val="auto"/>
              </w:rPr>
            </w:pPr>
          </w:p>
        </w:tc>
        <w:tc>
          <w:tcPr>
            <w:tcW w:w="680" w:type="dxa"/>
            <w:vAlign w:val="bottom"/>
          </w:tcPr>
          <w:p>
            <w:pPr>
              <w:jc w:val="right"/>
              <w:ind w:right="184"/>
              <w:spacing w:after="0"/>
              <w:rPr>
                <w:sz w:val="20"/>
                <w:szCs w:val="20"/>
                <w:color w:val="auto"/>
              </w:rPr>
            </w:pPr>
            <w:r>
              <w:rPr>
                <w:rFonts w:ascii="Arial" w:cs="Arial" w:eastAsia="Arial" w:hAnsi="Arial"/>
                <w:sz w:val="16"/>
                <w:szCs w:val="16"/>
                <w:color w:val="auto"/>
                <w:w w:val="99"/>
              </w:rPr>
              <w:t>203.9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268.0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256.1</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2"/>
              <w:spacing w:after="0"/>
              <w:rPr>
                <w:sz w:val="20"/>
                <w:szCs w:val="20"/>
                <w:color w:val="auto"/>
              </w:rPr>
            </w:pPr>
            <w:r>
              <w:rPr>
                <w:rFonts w:ascii="Arial" w:cs="Arial" w:eastAsia="Arial" w:hAnsi="Arial"/>
                <w:sz w:val="16"/>
                <w:szCs w:val="16"/>
                <w:color w:val="auto"/>
                <w:w w:val="84"/>
              </w:rPr>
              <w:t>219.0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85"/>
              <w:spacing w:after="0"/>
              <w:rPr>
                <w:sz w:val="20"/>
                <w:szCs w:val="20"/>
                <w:color w:val="auto"/>
              </w:rPr>
            </w:pPr>
            <w:r>
              <w:rPr>
                <w:rFonts w:ascii="Arial" w:cs="Arial" w:eastAsia="Arial" w:hAnsi="Arial"/>
                <w:sz w:val="16"/>
                <w:szCs w:val="16"/>
                <w:color w:val="auto"/>
              </w:rPr>
              <w:t>947.0</w:t>
            </w:r>
          </w:p>
        </w:tc>
      </w:tr>
      <w:tr>
        <w:trPr>
          <w:trHeight w:val="191"/>
        </w:trPr>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EEEEEE"/>
          </w:tcPr>
          <w:p>
            <w:pPr>
              <w:spacing w:after="0"/>
              <w:rPr>
                <w:sz w:val="16"/>
                <w:szCs w:val="16"/>
                <w:color w:val="auto"/>
              </w:rPr>
            </w:pPr>
          </w:p>
        </w:tc>
        <w:tc>
          <w:tcPr>
            <w:tcW w:w="680" w:type="dxa"/>
            <w:vAlign w:val="bottom"/>
            <w:shd w:val="clear" w:color="auto" w:fill="EEEEEE"/>
          </w:tcPr>
          <w:p>
            <w:pPr>
              <w:jc w:val="right"/>
              <w:ind w:right="144"/>
              <w:spacing w:after="0"/>
              <w:rPr>
                <w:sz w:val="20"/>
                <w:szCs w:val="20"/>
                <w:color w:val="auto"/>
              </w:rPr>
            </w:pPr>
            <w:r>
              <w:rPr>
                <w:rFonts w:ascii="Arial" w:cs="Arial" w:eastAsia="Arial" w:hAnsi="Arial"/>
                <w:sz w:val="16"/>
                <w:szCs w:val="16"/>
                <w:color w:val="auto"/>
                <w:w w:val="86"/>
              </w:rPr>
              <w:t>(252.0)</w:t>
            </w: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23.5</w:t>
            </w: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42"/>
              <w:spacing w:after="0"/>
              <w:rPr>
                <w:sz w:val="20"/>
                <w:szCs w:val="20"/>
                <w:color w:val="auto"/>
              </w:rPr>
            </w:pPr>
            <w:r>
              <w:rPr>
                <w:rFonts w:ascii="Arial" w:cs="Arial" w:eastAsia="Arial" w:hAnsi="Arial"/>
                <w:sz w:val="16"/>
                <w:szCs w:val="16"/>
                <w:color w:val="auto"/>
              </w:rPr>
              <w:t>(0.3)</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45"/>
              <w:spacing w:after="0"/>
              <w:rPr>
                <w:sz w:val="20"/>
                <w:szCs w:val="20"/>
                <w:color w:val="auto"/>
              </w:rPr>
            </w:pPr>
            <w:r>
              <w:rPr>
                <w:rFonts w:ascii="Arial" w:cs="Arial" w:eastAsia="Arial" w:hAnsi="Arial"/>
                <w:sz w:val="16"/>
                <w:szCs w:val="16"/>
                <w:color w:val="auto"/>
                <w:w w:val="94"/>
              </w:rPr>
              <w:t>(205.0)</w:t>
            </w:r>
          </w:p>
        </w:tc>
      </w:tr>
      <w:tr>
        <w:trPr>
          <w:trHeight w:val="191"/>
        </w:trPr>
        <w:tc>
          <w:tcPr>
            <w:tcW w:w="4560" w:type="dxa"/>
            <w:vAlign w:val="bottom"/>
          </w:tcPr>
          <w:p>
            <w:pPr>
              <w:spacing w:after="0"/>
              <w:rPr>
                <w:sz w:val="20"/>
                <w:szCs w:val="20"/>
                <w:color w:val="auto"/>
              </w:rPr>
            </w:pPr>
            <w:r>
              <w:rPr>
                <w:rFonts w:ascii="Arial" w:cs="Arial" w:eastAsia="Arial" w:hAnsi="Arial"/>
                <w:sz w:val="16"/>
                <w:szCs w:val="16"/>
                <w:color w:val="auto"/>
              </w:rPr>
              <w:t>Per common share:</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1"/>
        </w:trPr>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Basic earnings</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EEEEE"/>
          </w:tcPr>
          <w:p>
            <w:pPr>
              <w:jc w:val="right"/>
              <w:ind w:right="144"/>
              <w:spacing w:after="0"/>
              <w:rPr>
                <w:sz w:val="20"/>
                <w:szCs w:val="20"/>
                <w:color w:val="auto"/>
              </w:rPr>
            </w:pPr>
            <w:r>
              <w:rPr>
                <w:rFonts w:ascii="Arial" w:cs="Arial" w:eastAsia="Arial" w:hAnsi="Arial"/>
                <w:sz w:val="16"/>
                <w:szCs w:val="16"/>
                <w:color w:val="auto"/>
              </w:rPr>
              <w:t>(4.44)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.41</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.41</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EEEEE"/>
          </w:tcPr>
          <w:p>
            <w:pPr>
              <w:jc w:val="right"/>
              <w:ind w:right="145"/>
              <w:spacing w:after="0"/>
              <w:rPr>
                <w:sz w:val="20"/>
                <w:szCs w:val="20"/>
                <w:color w:val="auto"/>
              </w:rPr>
            </w:pPr>
            <w:r>
              <w:rPr>
                <w:rFonts w:ascii="Arial" w:cs="Arial" w:eastAsia="Arial" w:hAnsi="Arial"/>
                <w:sz w:val="16"/>
                <w:szCs w:val="16"/>
                <w:color w:val="auto"/>
              </w:rPr>
              <w:t>(3.58)</w:t>
            </w:r>
          </w:p>
        </w:tc>
      </w:tr>
      <w:tr>
        <w:trPr>
          <w:trHeight w:val="191"/>
        </w:trPr>
        <w:tc>
          <w:tcPr>
            <w:tcW w:w="4560" w:type="dxa"/>
            <w:vAlign w:val="bottom"/>
          </w:tcPr>
          <w:p>
            <w:pPr>
              <w:spacing w:after="0"/>
              <w:rPr>
                <w:sz w:val="20"/>
                <w:szCs w:val="20"/>
                <w:color w:val="auto"/>
              </w:rPr>
            </w:pPr>
            <w:r>
              <w:rPr>
                <w:rFonts w:ascii="Arial" w:cs="Arial" w:eastAsia="Arial" w:hAnsi="Arial"/>
                <w:sz w:val="16"/>
                <w:szCs w:val="16"/>
                <w:color w:val="auto"/>
              </w:rPr>
              <w:t>Diluted earnings</w:t>
            </w:r>
          </w:p>
        </w:tc>
        <w:tc>
          <w:tcPr>
            <w:tcW w:w="260" w:type="dxa"/>
            <w:vAlign w:val="bottom"/>
          </w:tcPr>
          <w:p>
            <w:pPr>
              <w:spacing w:after="0"/>
              <w:rPr>
                <w:sz w:val="16"/>
                <w:szCs w:val="16"/>
                <w:color w:val="auto"/>
              </w:rPr>
            </w:pPr>
          </w:p>
        </w:tc>
        <w:tc>
          <w:tcPr>
            <w:tcW w:w="680" w:type="dxa"/>
            <w:vAlign w:val="bottom"/>
          </w:tcPr>
          <w:p>
            <w:pPr>
              <w:jc w:val="right"/>
              <w:ind w:right="144"/>
              <w:spacing w:after="0"/>
              <w:rPr>
                <w:sz w:val="20"/>
                <w:szCs w:val="20"/>
                <w:color w:val="auto"/>
              </w:rPr>
            </w:pPr>
            <w:r>
              <w:rPr>
                <w:rFonts w:ascii="Arial" w:cs="Arial" w:eastAsia="Arial" w:hAnsi="Arial"/>
                <w:sz w:val="16"/>
                <w:szCs w:val="16"/>
                <w:color w:val="auto"/>
              </w:rPr>
              <w:t>(4.44)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4"/>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45"/>
              <w:spacing w:after="0"/>
              <w:rPr>
                <w:sz w:val="20"/>
                <w:szCs w:val="20"/>
                <w:color w:val="auto"/>
              </w:rPr>
            </w:pPr>
            <w:r>
              <w:rPr>
                <w:rFonts w:ascii="Arial" w:cs="Arial" w:eastAsia="Arial" w:hAnsi="Arial"/>
                <w:sz w:val="16"/>
                <w:szCs w:val="16"/>
                <w:color w:val="auto"/>
              </w:rPr>
              <w:t>(3.48)</w:t>
            </w:r>
          </w:p>
        </w:tc>
      </w:tr>
      <w:tr>
        <w:trPr>
          <w:trHeight w:val="191"/>
        </w:trPr>
        <w:tc>
          <w:tcPr>
            <w:tcW w:w="4560" w:type="dxa"/>
            <w:vAlign w:val="bottom"/>
            <w:shd w:val="clear" w:color="auto" w:fill="EEEEEE"/>
          </w:tcPr>
          <w:p>
            <w:pPr>
              <w:spacing w:after="0"/>
              <w:rPr>
                <w:sz w:val="20"/>
                <w:szCs w:val="20"/>
                <w:color w:val="auto"/>
              </w:rPr>
            </w:pPr>
            <w:r>
              <w:rPr>
                <w:rFonts w:ascii="Arial" w:cs="Arial" w:eastAsia="Arial" w:hAnsi="Arial"/>
                <w:sz w:val="16"/>
                <w:szCs w:val="16"/>
                <w:color w:val="auto"/>
              </w:rPr>
              <w:t>Dividends</w:t>
            </w:r>
          </w:p>
        </w:tc>
        <w:tc>
          <w:tcPr>
            <w:tcW w:w="260" w:type="dxa"/>
            <w:vAlign w:val="bottom"/>
            <w:shd w:val="clear" w:color="auto" w:fill="EEEEEE"/>
          </w:tcPr>
          <w:p>
            <w:pPr>
              <w:spacing w:after="0"/>
              <w:rPr>
                <w:sz w:val="16"/>
                <w:szCs w:val="16"/>
                <w:color w:val="auto"/>
              </w:rPr>
            </w:pPr>
          </w:p>
        </w:tc>
        <w:tc>
          <w:tcPr>
            <w:tcW w:w="68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.095</w:t>
            </w:r>
          </w:p>
        </w:tc>
        <w:tc>
          <w:tcPr>
            <w:tcW w:w="2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rPr>
              <w:t>.095</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jc w:val="right"/>
              <w:ind w:right="185"/>
              <w:spacing w:after="0"/>
              <w:rPr>
                <w:sz w:val="20"/>
                <w:szCs w:val="20"/>
                <w:color w:val="auto"/>
              </w:rPr>
            </w:pPr>
            <w:r>
              <w:rPr>
                <w:rFonts w:ascii="Arial" w:cs="Arial" w:eastAsia="Arial" w:hAnsi="Arial"/>
                <w:sz w:val="16"/>
                <w:szCs w:val="16"/>
                <w:color w:val="auto"/>
              </w:rPr>
              <w:t>.38</w:t>
            </w:r>
          </w:p>
        </w:tc>
      </w:tr>
      <w:tr>
        <w:trPr>
          <w:trHeight w:val="191"/>
        </w:trPr>
        <w:tc>
          <w:tcPr>
            <w:tcW w:w="4560" w:type="dxa"/>
            <w:vAlign w:val="bottom"/>
          </w:tcPr>
          <w:p>
            <w:pPr>
              <w:spacing w:after="0"/>
              <w:rPr>
                <w:sz w:val="20"/>
                <w:szCs w:val="20"/>
                <w:color w:val="auto"/>
              </w:rPr>
            </w:pPr>
            <w:r>
              <w:rPr>
                <w:rFonts w:ascii="Arial" w:cs="Arial" w:eastAsia="Arial" w:hAnsi="Arial"/>
                <w:sz w:val="16"/>
                <w:szCs w:val="16"/>
                <w:color w:val="auto"/>
              </w:rPr>
              <w:t>Stock price per share:</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1"/>
        </w:trPr>
        <w:tc>
          <w:tcPr>
            <w:tcW w:w="4560" w:type="dxa"/>
            <w:vAlign w:val="bottom"/>
            <w:shd w:val="clear" w:color="auto" w:fill="EEEEEE"/>
          </w:tcPr>
          <w:p>
            <w:pPr>
              <w:ind w:left="260"/>
              <w:spacing w:after="0"/>
              <w:rPr>
                <w:sz w:val="20"/>
                <w:szCs w:val="20"/>
                <w:color w:val="auto"/>
              </w:rPr>
            </w:pPr>
            <w:r>
              <w:rPr>
                <w:rFonts w:ascii="Arial" w:cs="Arial" w:eastAsia="Arial" w:hAnsi="Arial"/>
                <w:sz w:val="16"/>
                <w:szCs w:val="16"/>
                <w:color w:val="auto"/>
              </w:rPr>
              <w:t>High</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99"/>
              </w:rPr>
              <w:t>13.05</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4"/>
              </w:rPr>
              <w:t>17.96</w:t>
            </w: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4"/>
              <w:spacing w:after="0"/>
              <w:rPr>
                <w:sz w:val="20"/>
                <w:szCs w:val="20"/>
                <w:color w:val="auto"/>
              </w:rPr>
            </w:pPr>
            <w:r>
              <w:rPr>
                <w:rFonts w:ascii="Arial" w:cs="Arial" w:eastAsia="Arial" w:hAnsi="Arial"/>
                <w:sz w:val="16"/>
                <w:szCs w:val="16"/>
                <w:color w:val="auto"/>
                <w:w w:val="84"/>
              </w:rPr>
              <w:t>18.17</w:t>
            </w: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EEEEE"/>
          </w:tcPr>
          <w:p>
            <w:pPr>
              <w:jc w:val="right"/>
              <w:ind w:right="182"/>
              <w:spacing w:after="0"/>
              <w:rPr>
                <w:sz w:val="20"/>
                <w:szCs w:val="20"/>
                <w:color w:val="auto"/>
              </w:rPr>
            </w:pPr>
            <w:r>
              <w:rPr>
                <w:rFonts w:ascii="Arial" w:cs="Arial" w:eastAsia="Arial" w:hAnsi="Arial"/>
                <w:sz w:val="16"/>
                <w:szCs w:val="16"/>
                <w:color w:val="auto"/>
                <w:w w:val="84"/>
              </w:rPr>
              <w:t>14.89</w:t>
            </w:r>
          </w:p>
        </w:tc>
        <w:tc>
          <w:tcPr>
            <w:tcW w:w="26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720" w:type="dxa"/>
            <w:vAlign w:val="bottom"/>
            <w:shd w:val="clear" w:color="auto" w:fill="EEEEEE"/>
          </w:tcPr>
          <w:p>
            <w:pPr>
              <w:spacing w:after="0"/>
              <w:rPr>
                <w:sz w:val="16"/>
                <w:szCs w:val="16"/>
                <w:color w:val="auto"/>
              </w:rPr>
            </w:pPr>
          </w:p>
        </w:tc>
      </w:tr>
      <w:tr>
        <w:trPr>
          <w:trHeight w:val="196"/>
        </w:trPr>
        <w:tc>
          <w:tcPr>
            <w:tcW w:w="4560" w:type="dxa"/>
            <w:vAlign w:val="bottom"/>
          </w:tcPr>
          <w:p>
            <w:pPr>
              <w:ind w:left="260"/>
              <w:spacing w:after="0"/>
              <w:rPr>
                <w:sz w:val="20"/>
                <w:szCs w:val="20"/>
                <w:color w:val="auto"/>
              </w:rPr>
            </w:pPr>
            <w:r>
              <w:rPr>
                <w:rFonts w:ascii="Arial" w:cs="Arial" w:eastAsia="Arial" w:hAnsi="Arial"/>
                <w:sz w:val="16"/>
                <w:szCs w:val="16"/>
                <w:color w:val="auto"/>
              </w:rPr>
              <w:t>Low</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4"/>
              <w:spacing w:after="0"/>
              <w:rPr>
                <w:sz w:val="20"/>
                <w:szCs w:val="20"/>
                <w:color w:val="auto"/>
              </w:rPr>
            </w:pPr>
            <w:r>
              <w:rPr>
                <w:rFonts w:ascii="Arial" w:cs="Arial" w:eastAsia="Arial" w:hAnsi="Arial"/>
                <w:sz w:val="16"/>
                <w:szCs w:val="16"/>
                <w:color w:val="auto"/>
              </w:rPr>
              <w:t>9.42</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4"/>
              </w:rPr>
              <w:t>12.89</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4"/>
              <w:spacing w:after="0"/>
              <w:rPr>
                <w:sz w:val="20"/>
                <w:szCs w:val="20"/>
                <w:color w:val="auto"/>
              </w:rPr>
            </w:pPr>
            <w:r>
              <w:rPr>
                <w:rFonts w:ascii="Arial" w:cs="Arial" w:eastAsia="Arial" w:hAnsi="Arial"/>
                <w:sz w:val="16"/>
                <w:szCs w:val="16"/>
                <w:color w:val="auto"/>
                <w:w w:val="84"/>
              </w:rPr>
              <w:t>12.33</w:t>
            </w:r>
          </w:p>
        </w:tc>
        <w:tc>
          <w:tcPr>
            <w:tcW w:w="2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82"/>
              <w:spacing w:after="0"/>
              <w:rPr>
                <w:sz w:val="20"/>
                <w:szCs w:val="20"/>
                <w:color w:val="auto"/>
              </w:rPr>
            </w:pPr>
            <w:r>
              <w:rPr>
                <w:rFonts w:ascii="Arial" w:cs="Arial" w:eastAsia="Arial" w:hAnsi="Arial"/>
                <w:sz w:val="16"/>
                <w:szCs w:val="16"/>
                <w:color w:val="auto"/>
                <w:w w:val="84"/>
              </w:rPr>
              <w:t>11.71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32524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61" w:lineRule="exact"/>
        <w:rPr>
          <w:sz w:val="20"/>
          <w:szCs w:val="20"/>
          <w:color w:val="auto"/>
        </w:rPr>
      </w:pPr>
    </w:p>
    <w:p>
      <w:pPr>
        <w:jc w:val="both"/>
        <w:ind w:left="465" w:hanging="465"/>
        <w:spacing w:after="0" w:line="256" w:lineRule="auto"/>
        <w:tabs>
          <w:tab w:leader="none" w:pos="4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presented in the table below reconciles our restated net income for the first three quarters of 2003 from the net income previously presented in our Form 10-Qs for the applicable periods. The information for the fourth quarter of 2003 has been reconciled from the unaudited net income amount previously provided in our Form 8-K dated February 4, 2004. See Note 3 for a description of the adjustments:</w:t>
      </w:r>
    </w:p>
    <w:p>
      <w:pPr>
        <w:spacing w:after="0" w:line="361"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4"/>
          </w:tcPr>
          <w:p>
            <w:pPr>
              <w:ind w:left="560"/>
              <w:spacing w:after="0"/>
              <w:rPr>
                <w:sz w:val="20"/>
                <w:szCs w:val="20"/>
                <w:color w:val="auto"/>
              </w:rPr>
            </w:pPr>
            <w:r>
              <w:rPr>
                <w:rFonts w:ascii="Arial" w:cs="Arial" w:eastAsia="Arial" w:hAnsi="Arial"/>
                <w:sz w:val="12"/>
                <w:szCs w:val="12"/>
                <w:b w:val="1"/>
                <w:bCs w:val="1"/>
                <w:color w:val="auto"/>
                <w:w w:val="97"/>
              </w:rPr>
              <w:t>2003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4"/>
              </w:rPr>
              <w:t>First</w:t>
            </w:r>
          </w:p>
        </w:tc>
        <w:tc>
          <w:tcPr>
            <w:tcW w:w="2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Second</w:t>
            </w:r>
          </w:p>
        </w:tc>
        <w:tc>
          <w:tcPr>
            <w:tcW w:w="280" w:type="dxa"/>
            <w:vAlign w:val="bottom"/>
          </w:tcPr>
          <w:p>
            <w:pPr>
              <w:spacing w:after="0"/>
              <w:rPr>
                <w:sz w:val="18"/>
                <w:szCs w:val="18"/>
                <w:color w:val="auto"/>
              </w:rPr>
            </w:pPr>
          </w:p>
        </w:tc>
        <w:tc>
          <w:tcPr>
            <w:tcW w:w="840" w:type="dxa"/>
            <w:vAlign w:val="bottom"/>
            <w:gridSpan w:val="4"/>
          </w:tcPr>
          <w:p>
            <w:pPr>
              <w:ind w:left="280"/>
              <w:spacing w:after="0"/>
              <w:rPr>
                <w:sz w:val="20"/>
                <w:szCs w:val="20"/>
                <w:color w:val="auto"/>
              </w:rPr>
            </w:pPr>
            <w:r>
              <w:rPr>
                <w:rFonts w:ascii="Arial" w:cs="Arial" w:eastAsia="Arial" w:hAnsi="Arial"/>
                <w:sz w:val="12"/>
                <w:szCs w:val="12"/>
                <w:b w:val="1"/>
                <w:bCs w:val="1"/>
                <w:color w:val="auto"/>
              </w:rPr>
              <w:t>Third</w:t>
            </w:r>
          </w:p>
        </w:tc>
        <w:tc>
          <w:tcPr>
            <w:tcW w:w="300" w:type="dxa"/>
            <w:vAlign w:val="bottom"/>
          </w:tcPr>
          <w:p>
            <w:pPr>
              <w:spacing w:after="0"/>
              <w:rPr>
                <w:sz w:val="18"/>
                <w:szCs w:val="18"/>
                <w:color w:val="auto"/>
              </w:rPr>
            </w:pPr>
          </w:p>
        </w:tc>
        <w:tc>
          <w:tcPr>
            <w:tcW w:w="840" w:type="dxa"/>
            <w:vAlign w:val="bottom"/>
            <w:gridSpan w:val="4"/>
          </w:tcPr>
          <w:p>
            <w:pPr>
              <w:ind w:left="240"/>
              <w:spacing w:after="0"/>
              <w:rPr>
                <w:sz w:val="20"/>
                <w:szCs w:val="20"/>
                <w:color w:val="auto"/>
              </w:rPr>
            </w:pPr>
            <w:r>
              <w:rPr>
                <w:rFonts w:ascii="Arial" w:cs="Arial" w:eastAsia="Arial" w:hAnsi="Arial"/>
                <w:sz w:val="12"/>
                <w:szCs w:val="12"/>
                <w:b w:val="1"/>
                <w:bCs w:val="1"/>
                <w:color w:val="auto"/>
              </w:rPr>
              <w:t>Fourth</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840" w:type="dxa"/>
            <w:vAlign w:val="bottom"/>
            <w:gridSpan w:val="4"/>
          </w:tcPr>
          <w:p>
            <w:pPr>
              <w:ind w:left="22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840" w:type="dxa"/>
            <w:vAlign w:val="bottom"/>
            <w:gridSpan w:val="4"/>
          </w:tcPr>
          <w:p>
            <w:pPr>
              <w:ind w:left="220"/>
              <w:spacing w:after="0"/>
              <w:rPr>
                <w:sz w:val="20"/>
                <w:szCs w:val="20"/>
                <w:color w:val="auto"/>
              </w:rPr>
            </w:pPr>
            <w:r>
              <w:rPr>
                <w:rFonts w:ascii="Arial" w:cs="Arial" w:eastAsia="Arial" w:hAnsi="Arial"/>
                <w:sz w:val="12"/>
                <w:szCs w:val="12"/>
                <w:b w:val="1"/>
                <w:bCs w:val="1"/>
                <w:color w:val="auto"/>
              </w:rPr>
              <w:t>Quarter</w:t>
            </w:r>
          </w:p>
        </w:tc>
        <w:tc>
          <w:tcPr>
            <w:tcW w:w="300" w:type="dxa"/>
            <w:vAlign w:val="bottom"/>
          </w:tcPr>
          <w:p>
            <w:pPr>
              <w:spacing w:after="0"/>
              <w:rPr>
                <w:sz w:val="13"/>
                <w:szCs w:val="13"/>
                <w:color w:val="auto"/>
              </w:rPr>
            </w:pPr>
          </w:p>
        </w:tc>
        <w:tc>
          <w:tcPr>
            <w:tcW w:w="840" w:type="dxa"/>
            <w:vAlign w:val="bottom"/>
            <w:gridSpan w:val="4"/>
          </w:tcPr>
          <w:p>
            <w:pPr>
              <w:ind w:left="22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76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83"/>
        </w:trPr>
        <w:tc>
          <w:tcPr>
            <w:tcW w:w="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gridSpan w:val="10"/>
          </w:tcPr>
          <w:p>
            <w:pPr>
              <w:ind w:left="240"/>
              <w:spacing w:after="0"/>
              <w:rPr>
                <w:sz w:val="20"/>
                <w:szCs w:val="20"/>
                <w:color w:val="auto"/>
              </w:rPr>
            </w:pPr>
            <w:r>
              <w:rPr>
                <w:rFonts w:ascii="Arial" w:cs="Arial" w:eastAsia="Arial" w:hAnsi="Arial"/>
                <w:sz w:val="12"/>
                <w:szCs w:val="12"/>
                <w:b w:val="1"/>
                <w:bCs w:val="1"/>
                <w:color w:val="auto"/>
                <w:w w:val="89"/>
              </w:rPr>
              <w:t>(in millions, except per share amounts)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Net income as originally reported</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$ 2.5</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30.4</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27.7</w:t>
            </w:r>
          </w:p>
        </w:tc>
        <w:tc>
          <w:tcPr>
            <w:tcW w:w="280" w:type="dxa"/>
            <w:vAlign w:val="bottom"/>
            <w:shd w:val="clear" w:color="auto" w:fill="EEEEEE"/>
          </w:tcPr>
          <w:p>
            <w:pPr>
              <w:spacing w:after="0"/>
              <w:rPr>
                <w:sz w:val="16"/>
                <w:szCs w:val="16"/>
                <w:color w:val="auto"/>
              </w:rPr>
            </w:pPr>
          </w:p>
        </w:tc>
        <w:tc>
          <w:tcPr>
            <w:tcW w:w="600" w:type="dxa"/>
            <w:vAlign w:val="bottom"/>
            <w:gridSpan w:val="3"/>
            <w:shd w:val="clear" w:color="auto" w:fill="EEEEEE"/>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16.2</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$76.8</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Adjustments (pre-tax):</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060" w:type="dxa"/>
            <w:vAlign w:val="bottom"/>
            <w:gridSpan w:val="2"/>
            <w:shd w:val="clear" w:color="auto" w:fill="EEEEEE"/>
          </w:tcPr>
          <w:p>
            <w:pPr>
              <w:ind w:left="280"/>
              <w:spacing w:after="0"/>
              <w:rPr>
                <w:sz w:val="20"/>
                <w:szCs w:val="20"/>
                <w:color w:val="auto"/>
              </w:rPr>
            </w:pPr>
            <w:r>
              <w:rPr>
                <w:rFonts w:ascii="Arial" w:cs="Arial" w:eastAsia="Arial" w:hAnsi="Arial"/>
                <w:sz w:val="16"/>
                <w:szCs w:val="16"/>
                <w:color w:val="auto"/>
              </w:rPr>
              <w:t>Service Experts</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0.7</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(1.8)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4.4</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8.9</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060" w:type="dxa"/>
            <w:vAlign w:val="bottom"/>
            <w:gridSpan w:val="2"/>
          </w:tcPr>
          <w:p>
            <w:pPr>
              <w:ind w:left="280"/>
              <w:spacing w:after="0"/>
              <w:rPr>
                <w:sz w:val="20"/>
                <w:szCs w:val="20"/>
                <w:color w:val="auto"/>
              </w:rPr>
            </w:pPr>
            <w:r>
              <w:rPr>
                <w:rFonts w:ascii="Arial" w:cs="Arial" w:eastAsia="Arial" w:hAnsi="Arial"/>
                <w:sz w:val="16"/>
                <w:szCs w:val="16"/>
                <w:color w:val="auto"/>
              </w:rPr>
              <w:t>Non-Service Experts</w:t>
            </w:r>
          </w:p>
        </w:tc>
        <w:tc>
          <w:tcPr>
            <w:tcW w:w="820" w:type="dxa"/>
            <w:vAlign w:val="bottom"/>
            <w:gridSpan w:val="4"/>
          </w:tcPr>
          <w:p>
            <w:pPr>
              <w:jc w:val="right"/>
              <w:ind w:right="22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(1.5)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(1.4)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Total adjustments (pre-tax)</w:t>
            </w:r>
          </w:p>
        </w:tc>
        <w:tc>
          <w:tcPr>
            <w:tcW w:w="82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(0.5)</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(3.3)</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4.2</w:t>
            </w: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6.0</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060" w:type="dxa"/>
            <w:vAlign w:val="bottom"/>
            <w:gridSpan w:val="2"/>
          </w:tcPr>
          <w:p>
            <w:pPr>
              <w:ind w:left="280"/>
              <w:spacing w:after="0"/>
              <w:rPr>
                <w:sz w:val="20"/>
                <w:szCs w:val="20"/>
                <w:color w:val="auto"/>
              </w:rPr>
            </w:pPr>
            <w:r>
              <w:rPr>
                <w:rFonts w:ascii="Arial" w:cs="Arial" w:eastAsia="Arial" w:hAnsi="Arial"/>
                <w:sz w:val="16"/>
                <w:szCs w:val="16"/>
                <w:color w:val="auto"/>
              </w:rPr>
              <w:t>Tax effect of restatement adjustments</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4"/>
              </w:rPr>
              <w:t>(2.2)</w:t>
            </w: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Total net adjustments</w:t>
            </w:r>
          </w:p>
        </w:tc>
        <w:tc>
          <w:tcPr>
            <w:tcW w:w="820" w:type="dxa"/>
            <w:vAlign w:val="bottom"/>
            <w:gridSpan w:val="4"/>
            <w:shd w:val="clear" w:color="auto" w:fill="EEEEEE"/>
          </w:tcPr>
          <w:p>
            <w:pPr>
              <w:jc w:val="right"/>
              <w:ind w:right="220"/>
              <w:spacing w:after="0"/>
              <w:rPr>
                <w:sz w:val="20"/>
                <w:szCs w:val="20"/>
                <w:color w:val="auto"/>
              </w:rPr>
            </w:pPr>
            <w:r>
              <w:rPr>
                <w:rFonts w:ascii="Arial" w:cs="Arial" w:eastAsia="Arial" w:hAnsi="Arial"/>
                <w:sz w:val="16"/>
                <w:szCs w:val="16"/>
                <w:color w:val="auto"/>
              </w:rPr>
              <w:t>(0.2)</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(0.1)</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80" w:type="dxa"/>
            <w:vAlign w:val="bottom"/>
            <w:gridSpan w:val="2"/>
          </w:tcPr>
          <w:p>
            <w:pPr>
              <w:spacing w:after="0"/>
              <w:rPr>
                <w:sz w:val="8"/>
                <w:szCs w:val="8"/>
                <w:color w:val="auto"/>
              </w:rPr>
            </w:pPr>
          </w:p>
        </w:tc>
        <w:tc>
          <w:tcPr>
            <w:tcW w:w="3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20" w:type="dxa"/>
            <w:vAlign w:val="bottom"/>
            <w:gridSpan w:val="3"/>
          </w:tcPr>
          <w:p>
            <w:pPr>
              <w:ind w:left="560"/>
              <w:spacing w:after="0"/>
              <w:rPr>
                <w:sz w:val="20"/>
                <w:szCs w:val="20"/>
                <w:color w:val="auto"/>
              </w:rPr>
            </w:pPr>
            <w:r>
              <w:rPr>
                <w:rFonts w:ascii="Arial" w:cs="Arial" w:eastAsia="Arial" w:hAnsi="Arial"/>
                <w:sz w:val="16"/>
                <w:szCs w:val="16"/>
                <w:color w:val="auto"/>
              </w:rPr>
              <w:t>Net income as restated</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$ 2.3</w:t>
            </w:r>
          </w:p>
        </w:tc>
        <w:tc>
          <w:tcPr>
            <w:tcW w:w="280" w:type="dxa"/>
            <w:vAlign w:val="bottom"/>
          </w:tcPr>
          <w:p>
            <w:pPr>
              <w:spacing w:after="0"/>
              <w:rPr>
                <w:sz w:val="24"/>
                <w:szCs w:val="24"/>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30.3</w:t>
            </w:r>
          </w:p>
        </w:tc>
        <w:tc>
          <w:tcPr>
            <w:tcW w:w="280" w:type="dxa"/>
            <w:vAlign w:val="bottom"/>
          </w:tcPr>
          <w:p>
            <w:pPr>
              <w:spacing w:after="0"/>
              <w:rPr>
                <w:sz w:val="24"/>
                <w:szCs w:val="24"/>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32.2</w:t>
            </w:r>
          </w:p>
        </w:tc>
        <w:tc>
          <w:tcPr>
            <w:tcW w:w="280" w:type="dxa"/>
            <w:vAlign w:val="bottom"/>
          </w:tcPr>
          <w:p>
            <w:pPr>
              <w:spacing w:after="0"/>
              <w:rPr>
                <w:sz w:val="24"/>
                <w:szCs w:val="24"/>
                <w:color w:val="auto"/>
              </w:rPr>
            </w:pPr>
          </w:p>
        </w:tc>
        <w:tc>
          <w:tcPr>
            <w:tcW w:w="600" w:type="dxa"/>
            <w:vAlign w:val="bottom"/>
            <w:gridSpan w:val="3"/>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19.6</w:t>
            </w:r>
          </w:p>
        </w:tc>
        <w:tc>
          <w:tcPr>
            <w:tcW w:w="28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$84.4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560" w:type="dxa"/>
            <w:vAlign w:val="bottom"/>
            <w:vMerge w:val="restart"/>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Per Share of Common Stock:</w:t>
            </w: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Net income — Basic as originally reported</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 .04</w:t>
            </w:r>
          </w:p>
        </w:tc>
        <w:tc>
          <w:tcPr>
            <w:tcW w:w="280" w:type="dxa"/>
            <w:vAlign w:val="bottom"/>
          </w:tcPr>
          <w:p>
            <w:pPr>
              <w:spacing w:after="0"/>
              <w:rPr>
                <w:sz w:val="16"/>
                <w:szCs w:val="16"/>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6"/>
                <w:szCs w:val="16"/>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6"/>
                <w:szCs w:val="16"/>
                <w:color w:val="auto"/>
              </w:rPr>
            </w:pPr>
          </w:p>
        </w:tc>
        <w:tc>
          <w:tcPr>
            <w:tcW w:w="600" w:type="dxa"/>
            <w:vAlign w:val="bottom"/>
            <w:gridSpan w:val="3"/>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Effect of net adjustments</w:t>
            </w: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.08</w:t>
            </w: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80" w:type="dxa"/>
            <w:vAlign w:val="bottom"/>
            <w:gridSpan w:val="2"/>
          </w:tcPr>
          <w:p>
            <w:pPr>
              <w:spacing w:after="0"/>
              <w:rPr>
                <w:sz w:val="8"/>
                <w:szCs w:val="8"/>
                <w:color w:val="auto"/>
              </w:rPr>
            </w:pPr>
          </w:p>
        </w:tc>
        <w:tc>
          <w:tcPr>
            <w:tcW w:w="35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5620" w:type="dxa"/>
            <w:vAlign w:val="bottom"/>
            <w:gridSpan w:val="3"/>
          </w:tcPr>
          <w:p>
            <w:pPr>
              <w:ind w:left="560"/>
              <w:spacing w:after="0"/>
              <w:rPr>
                <w:sz w:val="20"/>
                <w:szCs w:val="20"/>
                <w:color w:val="auto"/>
              </w:rPr>
            </w:pPr>
            <w:r>
              <w:rPr>
                <w:rFonts w:ascii="Arial" w:cs="Arial" w:eastAsia="Arial" w:hAnsi="Arial"/>
                <w:sz w:val="16"/>
                <w:szCs w:val="16"/>
                <w:color w:val="auto"/>
              </w:rPr>
              <w:t>Net loss — Basic as restated</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 .04</w:t>
            </w:r>
          </w:p>
        </w:tc>
        <w:tc>
          <w:tcPr>
            <w:tcW w:w="280" w:type="dxa"/>
            <w:vAlign w:val="bottom"/>
          </w:tcPr>
          <w:p>
            <w:pPr>
              <w:spacing w:after="0"/>
              <w:rPr>
                <w:sz w:val="24"/>
                <w:szCs w:val="24"/>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24"/>
                <w:szCs w:val="24"/>
                <w:color w:val="auto"/>
              </w:rPr>
            </w:pPr>
          </w:p>
        </w:tc>
        <w:tc>
          <w:tcPr>
            <w:tcW w:w="580" w:type="dxa"/>
            <w:vAlign w:val="bottom"/>
            <w:gridSpan w:val="3"/>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24"/>
                <w:szCs w:val="24"/>
                <w:color w:val="auto"/>
              </w:rPr>
            </w:pPr>
          </w:p>
        </w:tc>
        <w:tc>
          <w:tcPr>
            <w:tcW w:w="600" w:type="dxa"/>
            <w:vAlign w:val="bottom"/>
            <w:gridSpan w:val="3"/>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0" w:type="dxa"/>
            <w:vAlign w:val="bottom"/>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Net income-Diluted as originally reported</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.04</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EEEEEE"/>
          </w:tcPr>
          <w:p>
            <w:pPr>
              <w:spacing w:after="0"/>
              <w:rPr>
                <w:sz w:val="16"/>
                <w:szCs w:val="16"/>
                <w:color w:val="auto"/>
              </w:rPr>
            </w:pPr>
          </w:p>
        </w:tc>
        <w:tc>
          <w:tcPr>
            <w:tcW w:w="600" w:type="dxa"/>
            <w:vAlign w:val="bottom"/>
            <w:gridSpan w:val="3"/>
            <w:shd w:val="clear" w:color="auto" w:fill="EEEEEE"/>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$1.28</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060" w:type="dxa"/>
            <w:vAlign w:val="bottom"/>
            <w:gridSpan w:val="2"/>
          </w:tcPr>
          <w:p>
            <w:pPr>
              <w:spacing w:after="0"/>
              <w:rPr>
                <w:sz w:val="20"/>
                <w:szCs w:val="20"/>
                <w:color w:val="auto"/>
              </w:rPr>
            </w:pPr>
            <w:r>
              <w:rPr>
                <w:rFonts w:ascii="Arial" w:cs="Arial" w:eastAsia="Arial" w:hAnsi="Arial"/>
                <w:sz w:val="16"/>
                <w:szCs w:val="16"/>
                <w:color w:val="auto"/>
              </w:rPr>
              <w:t>Effect of net adjustments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(.01)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60" w:type="dxa"/>
            <w:vAlign w:val="bottom"/>
            <w:vMerge w:val="restart"/>
          </w:tcPr>
          <w:p>
            <w:pPr>
              <w:spacing w:after="0"/>
              <w:rPr>
                <w:sz w:val="7"/>
                <w:szCs w:val="7"/>
                <w:color w:val="auto"/>
              </w:rPr>
            </w:pPr>
          </w:p>
        </w:tc>
        <w:tc>
          <w:tcPr>
            <w:tcW w:w="15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50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Net income — Diluted as restated</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.04</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.50</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50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EEEEEE"/>
          </w:tcPr>
          <w:p>
            <w:pPr>
              <w:spacing w:after="0"/>
              <w:rPr>
                <w:sz w:val="16"/>
                <w:szCs w:val="16"/>
                <w:color w:val="auto"/>
              </w:rPr>
            </w:pPr>
          </w:p>
        </w:tc>
        <w:tc>
          <w:tcPr>
            <w:tcW w:w="600" w:type="dxa"/>
            <w:vAlign w:val="bottom"/>
            <w:gridSpan w:val="3"/>
            <w:shd w:val="clear" w:color="auto" w:fill="EEEEEE"/>
          </w:tcPr>
          <w:p>
            <w:pPr>
              <w:ind w:left="50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.32</w:t>
            </w:r>
          </w:p>
        </w:tc>
        <w:tc>
          <w:tcPr>
            <w:tcW w:w="280" w:type="dxa"/>
            <w:vAlign w:val="bottom"/>
            <w:shd w:val="clear" w:color="auto" w:fill="EEEEEE"/>
          </w:tcPr>
          <w:p>
            <w:pPr>
              <w:spacing w:after="0"/>
              <w:rPr>
                <w:sz w:val="16"/>
                <w:szCs w:val="16"/>
                <w:color w:val="auto"/>
              </w:rPr>
            </w:pPr>
          </w:p>
        </w:tc>
        <w:tc>
          <w:tcPr>
            <w:tcW w:w="860" w:type="dxa"/>
            <w:vAlign w:val="bottom"/>
            <w:gridSpan w:val="5"/>
            <w:shd w:val="clear" w:color="auto" w:fill="EEEEEE"/>
          </w:tcPr>
          <w:p>
            <w:pPr>
              <w:jc w:val="right"/>
              <w:ind w:right="20"/>
              <w:spacing w:after="0"/>
              <w:rPr>
                <w:sz w:val="20"/>
                <w:szCs w:val="20"/>
                <w:color w:val="auto"/>
              </w:rPr>
            </w:pPr>
            <w:r>
              <w:rPr>
                <w:rFonts w:ascii="Arial" w:cs="Arial" w:eastAsia="Arial" w:hAnsi="Arial"/>
                <w:sz w:val="16"/>
                <w:szCs w:val="16"/>
                <w:color w:val="auto"/>
              </w:rPr>
              <w:t>$1.40</w:t>
            </w:r>
          </w:p>
        </w:tc>
        <w:tc>
          <w:tcPr>
            <w:tcW w:w="1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-1327150</wp:posOffset>
            </wp:positionV>
            <wp:extent cx="12700" cy="35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-1327150</wp:posOffset>
            </wp:positionV>
            <wp:extent cx="12700" cy="355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-1327150</wp:posOffset>
            </wp:positionV>
            <wp:extent cx="12700" cy="355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-1327150</wp:posOffset>
            </wp:positionV>
            <wp:extent cx="12700" cy="35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-1327150</wp:posOffset>
            </wp:positionV>
            <wp:extent cx="12700" cy="355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5162550</wp:posOffset>
            </wp:positionH>
            <wp:positionV relativeFrom="paragraph">
              <wp:posOffset>-1327150</wp:posOffset>
            </wp:positionV>
            <wp:extent cx="12700" cy="35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-1327150</wp:posOffset>
            </wp:positionV>
            <wp:extent cx="12700" cy="35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-1327150</wp:posOffset>
            </wp:positionV>
            <wp:extent cx="12700" cy="355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6767830</wp:posOffset>
            </wp:positionH>
            <wp:positionV relativeFrom="paragraph">
              <wp:posOffset>-1327150</wp:posOffset>
            </wp:positionV>
            <wp:extent cx="12700" cy="355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-1327150</wp:posOffset>
            </wp:positionV>
            <wp:extent cx="12700" cy="35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64" w:lineRule="exact"/>
        <w:rPr>
          <w:sz w:val="20"/>
          <w:szCs w:val="20"/>
          <w:color w:val="auto"/>
        </w:rPr>
      </w:pPr>
    </w:p>
    <w:p>
      <w:pPr>
        <w:ind w:left="465" w:right="60" w:hanging="465"/>
        <w:spacing w:after="0" w:line="256" w:lineRule="auto"/>
        <w:tabs>
          <w:tab w:leader="none" w:pos="4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presented in the table below reconciles our restated net income for the first three quarters of 2002 from the net income previously presented in our Form 10-Qs for the applicable periods. The information for the fourth quarter of 2002 has been reconciled from the net income amount previously reported in our 2002 Form 10-K. See Note 3 for a description of the adjustments.</w:t>
      </w:r>
    </w:p>
    <w:p>
      <w:pPr>
        <w:spacing w:after="0" w:line="175"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76" w:name="page77"/>
    <w:bookmarkEnd w:id="76"/>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1" w:lineRule="exact"/>
        <w:rPr>
          <w:sz w:val="20"/>
          <w:szCs w:val="20"/>
          <w:color w:val="auto"/>
        </w:rPr>
      </w:pPr>
    </w:p>
    <w:tbl>
      <w:tblPr>
        <w:tblLayout w:type="fixed"/>
        <w:tblInd w:w="565"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2002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First</w:t>
            </w:r>
          </w:p>
        </w:tc>
        <w:tc>
          <w:tcPr>
            <w:tcW w:w="280" w:type="dxa"/>
            <w:vAlign w:val="bottom"/>
          </w:tcPr>
          <w:p>
            <w:pPr>
              <w:spacing w:after="0"/>
              <w:rPr>
                <w:sz w:val="18"/>
                <w:szCs w:val="18"/>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rPr>
              <w:t>Second</w:t>
            </w:r>
          </w:p>
        </w:tc>
        <w:tc>
          <w:tcPr>
            <w:tcW w:w="280" w:type="dxa"/>
            <w:vAlign w:val="bottom"/>
          </w:tcPr>
          <w:p>
            <w:pPr>
              <w:spacing w:after="0"/>
              <w:rPr>
                <w:sz w:val="18"/>
                <w:szCs w:val="18"/>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Third</w:t>
            </w:r>
          </w:p>
        </w:tc>
        <w:tc>
          <w:tcPr>
            <w:tcW w:w="280" w:type="dxa"/>
            <w:vAlign w:val="bottom"/>
          </w:tcPr>
          <w:p>
            <w:pPr>
              <w:spacing w:after="0"/>
              <w:rPr>
                <w:sz w:val="18"/>
                <w:szCs w:val="18"/>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12"/>
                <w:szCs w:val="12"/>
                <w:b w:val="1"/>
                <w:bCs w:val="1"/>
                <w:color w:val="auto"/>
              </w:rPr>
              <w:t>Fourth</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820" w:type="dxa"/>
            <w:vAlign w:val="bottom"/>
            <w:gridSpan w:val="5"/>
          </w:tcPr>
          <w:p>
            <w:pPr>
              <w:ind w:left="20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820" w:type="dxa"/>
            <w:vAlign w:val="bottom"/>
            <w:gridSpan w:val="4"/>
          </w:tcPr>
          <w:p>
            <w:pPr>
              <w:ind w:left="20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820" w:type="dxa"/>
            <w:vAlign w:val="bottom"/>
            <w:gridSpan w:val="5"/>
          </w:tcPr>
          <w:p>
            <w:pPr>
              <w:ind w:left="200"/>
              <w:spacing w:after="0"/>
              <w:rPr>
                <w:sz w:val="20"/>
                <w:szCs w:val="20"/>
                <w:color w:val="auto"/>
              </w:rPr>
            </w:pPr>
            <w:r>
              <w:rPr>
                <w:rFonts w:ascii="Arial" w:cs="Arial" w:eastAsia="Arial" w:hAnsi="Arial"/>
                <w:sz w:val="12"/>
                <w:szCs w:val="12"/>
                <w:b w:val="1"/>
                <w:bCs w:val="1"/>
                <w:color w:val="auto"/>
              </w:rPr>
              <w:t>Quarter</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2"/>
          </w:tcPr>
          <w:p>
            <w:pPr>
              <w:jc w:val="right"/>
              <w:ind w:right="480"/>
              <w:spacing w:after="0"/>
              <w:rPr>
                <w:sz w:val="20"/>
                <w:szCs w:val="20"/>
                <w:color w:val="auto"/>
              </w:rPr>
            </w:pPr>
            <w:r>
              <w:rPr>
                <w:rFonts w:ascii="Arial" w:cs="Arial" w:eastAsia="Arial" w:hAnsi="Arial"/>
                <w:sz w:val="12"/>
                <w:szCs w:val="12"/>
                <w:b w:val="1"/>
                <w:bCs w:val="1"/>
                <w:color w:val="auto"/>
                <w:w w:val="87"/>
              </w:rPr>
              <w:t>(in millions, except per share amounts)</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Net (loss) income as originally reported</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w w:val="82"/>
              </w:rPr>
              <w:t>(248.6)</w:t>
            </w: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25.6</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27.6</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480"/>
              <w:spacing w:after="0"/>
              <w:rPr>
                <w:sz w:val="20"/>
                <w:szCs w:val="20"/>
                <w:color w:val="auto"/>
              </w:rPr>
            </w:pPr>
            <w:r>
              <w:rPr>
                <w:rFonts w:ascii="Arial" w:cs="Arial" w:eastAsia="Arial" w:hAnsi="Arial"/>
                <w:sz w:val="16"/>
                <w:szCs w:val="16"/>
                <w:color w:val="auto"/>
                <w:w w:val="89"/>
              </w:rPr>
              <w:t>$</w:t>
            </w:r>
          </w:p>
        </w:tc>
        <w:tc>
          <w:tcPr>
            <w:tcW w:w="26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98"/>
              </w:rPr>
              <w:t>5.0</w:t>
            </w:r>
          </w:p>
        </w:tc>
        <w:tc>
          <w:tcPr>
            <w:tcW w:w="26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w w:val="82"/>
              </w:rPr>
              <w:t>(190.4)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Adjustments (pre-tax):</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EEEEEE"/>
          </w:tcPr>
          <w:p>
            <w:pPr>
              <w:ind w:left="260"/>
              <w:spacing w:after="0"/>
              <w:rPr>
                <w:sz w:val="20"/>
                <w:szCs w:val="20"/>
                <w:color w:val="auto"/>
              </w:rPr>
            </w:pPr>
            <w:r>
              <w:rPr>
                <w:rFonts w:ascii="Arial" w:cs="Arial" w:eastAsia="Arial" w:hAnsi="Arial"/>
                <w:sz w:val="16"/>
                <w:szCs w:val="16"/>
                <w:color w:val="auto"/>
              </w:rPr>
              <w:t>Service Experts</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(4.6)</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w w:val="91"/>
              </w:rPr>
              <w:t>(1.4)</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(1.4)</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w w:val="78"/>
              </w:rPr>
              <w:t>(6.7)</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6"/>
                <w:szCs w:val="16"/>
                <w:color w:val="auto"/>
              </w:rPr>
              <w:t>Non-Service Experts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w w:val="91"/>
              </w:rPr>
              <w:t>(0.1)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w w:val="78"/>
              </w:rPr>
              <w:t>(0.1)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Total adjustments (pre-tax)</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(5.9)</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w w:val="91"/>
              </w:rPr>
              <w:t>(1.5)</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(1.4)</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w w:val="78"/>
              </w:rPr>
              <w:t>(6.8)</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ind w:left="260"/>
              <w:spacing w:after="0"/>
              <w:rPr>
                <w:sz w:val="20"/>
                <w:szCs w:val="20"/>
                <w:color w:val="auto"/>
              </w:rPr>
            </w:pPr>
            <w:r>
              <w:rPr>
                <w:rFonts w:ascii="Arial" w:cs="Arial" w:eastAsia="Arial" w:hAnsi="Arial"/>
                <w:sz w:val="16"/>
                <w:szCs w:val="16"/>
                <w:color w:val="auto"/>
              </w:rPr>
              <w:t>Tax effect of restatement adjustments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w w:val="91"/>
              </w:rPr>
              <w:t>(0.6)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(2.4)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Total net adjustments</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(3.4)</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w w:val="91"/>
              </w:rPr>
              <w:t>(2.1)</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(3.8)</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w w:val="78"/>
              </w:rPr>
              <w:t>(5.3)</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95"/>
        </w:trPr>
        <w:tc>
          <w:tcPr>
            <w:tcW w:w="47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740" w:type="dxa"/>
            <w:vAlign w:val="bottom"/>
            <w:gridSpan w:val="2"/>
          </w:tcPr>
          <w:p>
            <w:pPr>
              <w:spacing w:after="0"/>
              <w:rPr>
                <w:sz w:val="20"/>
                <w:szCs w:val="20"/>
                <w:color w:val="auto"/>
              </w:rPr>
            </w:pPr>
            <w:r>
              <w:rPr>
                <w:rFonts w:ascii="Arial" w:cs="Arial" w:eastAsia="Arial" w:hAnsi="Arial"/>
                <w:sz w:val="16"/>
                <w:szCs w:val="16"/>
                <w:color w:val="auto"/>
              </w:rPr>
              <w:t>Net (loss) income as restated</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w w:val="82"/>
              </w:rPr>
              <w:t>(252.0)</w:t>
            </w: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23.5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76"/>
              </w:rPr>
              <w:t>23.8</w:t>
            </w:r>
          </w:p>
        </w:tc>
        <w:tc>
          <w:tcPr>
            <w:tcW w:w="280" w:type="dxa"/>
            <w:vAlign w:val="bottom"/>
          </w:tcPr>
          <w:p>
            <w:pPr>
              <w:spacing w:after="0"/>
              <w:rPr>
                <w:sz w:val="24"/>
                <w:szCs w:val="24"/>
                <w:color w:val="auto"/>
              </w:rPr>
            </w:pPr>
          </w:p>
        </w:tc>
        <w:tc>
          <w:tcPr>
            <w:tcW w:w="580" w:type="dxa"/>
            <w:vAlign w:val="bottom"/>
            <w:gridSpan w:val="3"/>
          </w:tcPr>
          <w:p>
            <w:pPr>
              <w:ind w:left="480"/>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w w:val="78"/>
              </w:rPr>
              <w:t>(0.3)</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w w:val="82"/>
              </w:rPr>
              <w:t>(205.0)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Per Share of Common Stock:</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Net (loss) income — Basic as originally reported</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(4.38)</w:t>
            </w: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6"/>
                <w:szCs w:val="16"/>
                <w:color w:val="auto"/>
              </w:rPr>
            </w:pPr>
          </w:p>
        </w:tc>
        <w:tc>
          <w:tcPr>
            <w:tcW w:w="580" w:type="dxa"/>
            <w:vAlign w:val="bottom"/>
            <w:gridSpan w:val="3"/>
          </w:tcPr>
          <w:p>
            <w:pPr>
              <w:ind w:left="480"/>
              <w:spacing w:after="0"/>
              <w:rPr>
                <w:sz w:val="20"/>
                <w:szCs w:val="20"/>
                <w:color w:val="auto"/>
              </w:rPr>
            </w:pPr>
            <w:r>
              <w:rPr>
                <w:rFonts w:ascii="Arial" w:cs="Arial" w:eastAsia="Arial" w:hAnsi="Arial"/>
                <w:sz w:val="16"/>
                <w:szCs w:val="16"/>
                <w:color w:val="auto"/>
                <w:w w:val="89"/>
              </w:rPr>
              <w: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.09</w:t>
            </w:r>
          </w:p>
        </w:tc>
        <w:tc>
          <w:tcPr>
            <w:tcW w:w="26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Effect of net adjustments</w:t>
            </w: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(.06)</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3"/>
            <w:shd w:val="clear" w:color="auto" w:fill="EEEEEE"/>
          </w:tcPr>
          <w:p>
            <w:pPr>
              <w:jc w:val="right"/>
              <w:ind w:right="160"/>
              <w:spacing w:after="0"/>
              <w:rPr>
                <w:sz w:val="20"/>
                <w:szCs w:val="20"/>
                <w:color w:val="auto"/>
              </w:rPr>
            </w:pPr>
            <w:r>
              <w:rPr>
                <w:rFonts w:ascii="Arial" w:cs="Arial" w:eastAsia="Arial" w:hAnsi="Arial"/>
                <w:sz w:val="16"/>
                <w:szCs w:val="16"/>
                <w:color w:val="auto"/>
                <w:w w:val="91"/>
              </w:rPr>
              <w:t>(.04)</w:t>
            </w:r>
          </w:p>
        </w:tc>
        <w:tc>
          <w:tcPr>
            <w:tcW w:w="2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(.07)</w:t>
            </w:r>
          </w:p>
        </w:tc>
        <w:tc>
          <w:tcPr>
            <w:tcW w:w="2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520" w:type="dxa"/>
            <w:vAlign w:val="bottom"/>
            <w:gridSpan w:val="3"/>
            <w:shd w:val="clear" w:color="auto" w:fill="EEEEEE"/>
          </w:tcPr>
          <w:p>
            <w:pPr>
              <w:jc w:val="right"/>
              <w:ind w:right="240"/>
              <w:spacing w:after="0"/>
              <w:rPr>
                <w:sz w:val="20"/>
                <w:szCs w:val="20"/>
                <w:color w:val="auto"/>
              </w:rPr>
            </w:pPr>
            <w:r>
              <w:rPr>
                <w:rFonts w:ascii="Arial" w:cs="Arial" w:eastAsia="Arial" w:hAnsi="Arial"/>
                <w:sz w:val="16"/>
                <w:szCs w:val="16"/>
                <w:color w:val="auto"/>
                <w:w w:val="78"/>
              </w:rPr>
              <w:t>(.09)</w:t>
            </w:r>
          </w:p>
        </w:tc>
        <w:tc>
          <w:tcPr>
            <w:tcW w:w="280" w:type="dxa"/>
            <w:vAlign w:val="bottom"/>
            <w:shd w:val="clear" w:color="auto" w:fill="EEEEEE"/>
          </w:tcPr>
          <w:p>
            <w:pPr>
              <w:spacing w:after="0"/>
              <w:rPr>
                <w:sz w:val="16"/>
                <w:szCs w:val="16"/>
                <w:color w:val="auto"/>
              </w:rPr>
            </w:pPr>
          </w:p>
        </w:tc>
        <w:tc>
          <w:tcPr>
            <w:tcW w:w="3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95"/>
        </w:trPr>
        <w:tc>
          <w:tcPr>
            <w:tcW w:w="4740" w:type="dxa"/>
            <w:vAlign w:val="bottom"/>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gridSpan w:val="2"/>
          </w:tcPr>
          <w:p>
            <w:pPr>
              <w:spacing w:after="0"/>
              <w:rPr>
                <w:sz w:val="8"/>
                <w:szCs w:val="8"/>
                <w:color w:val="auto"/>
              </w:rPr>
            </w:pPr>
          </w:p>
        </w:tc>
        <w:tc>
          <w:tcPr>
            <w:tcW w:w="56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gridSpan w:val="3"/>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660" w:type="dxa"/>
            <w:vAlign w:val="bottom"/>
            <w:gridSpan w:val="3"/>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740" w:type="dxa"/>
            <w:vAlign w:val="bottom"/>
            <w:gridSpan w:val="2"/>
          </w:tcPr>
          <w:p>
            <w:pPr>
              <w:spacing w:after="0"/>
              <w:rPr>
                <w:sz w:val="20"/>
                <w:szCs w:val="20"/>
                <w:color w:val="auto"/>
              </w:rPr>
            </w:pPr>
            <w:r>
              <w:rPr>
                <w:rFonts w:ascii="Arial" w:cs="Arial" w:eastAsia="Arial" w:hAnsi="Arial"/>
                <w:sz w:val="16"/>
                <w:szCs w:val="16"/>
                <w:color w:val="auto"/>
              </w:rPr>
              <w:t>Net (loss) income — Basic as restated</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(4.44)</w:t>
            </w: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4"/>
                <w:szCs w:val="24"/>
                <w:color w:val="auto"/>
              </w:rPr>
            </w:pPr>
          </w:p>
        </w:tc>
        <w:tc>
          <w:tcPr>
            <w:tcW w:w="580" w:type="dxa"/>
            <w:vAlign w:val="bottom"/>
            <w:gridSpan w:val="3"/>
          </w:tcPr>
          <w:p>
            <w:pPr>
              <w:ind w:left="480"/>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Net (loss) income — Diluted as originally reported</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(4.38)</w:t>
            </w: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.43</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480"/>
              <w:spacing w:after="0"/>
              <w:rPr>
                <w:sz w:val="20"/>
                <w:szCs w:val="20"/>
                <w:color w:val="auto"/>
              </w:rPr>
            </w:pPr>
            <w:r>
              <w:rPr>
                <w:rFonts w:ascii="Arial" w:cs="Arial" w:eastAsia="Arial" w:hAnsi="Arial"/>
                <w:sz w:val="16"/>
                <w:szCs w:val="16"/>
                <w:color w:val="auto"/>
                <w:w w:val="89"/>
              </w:rPr>
              <w:t>$</w:t>
            </w:r>
          </w:p>
        </w:tc>
        <w:tc>
          <w:tcPr>
            <w:tcW w:w="26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98"/>
              </w:rPr>
              <w:t>.08</w:t>
            </w:r>
          </w:p>
        </w:tc>
        <w:tc>
          <w:tcPr>
            <w:tcW w:w="26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Effect of net adjustments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w w:val="91"/>
              </w:rPr>
              <w:t>(.03)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(.06)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w w:val="78"/>
              </w:rPr>
              <w:t>(.08)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6"/>
                <w:szCs w:val="16"/>
                <w:color w:val="auto"/>
              </w:rPr>
              <w:t>Net (loss) income — Diluted as restated</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(4.44)</w:t>
            </w: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560" w:type="dxa"/>
            <w:vAlign w:val="bottom"/>
            <w:gridSpan w:val="3"/>
            <w:shd w:val="clear" w:color="auto" w:fill="EEEEEE"/>
          </w:tcPr>
          <w:p>
            <w:pPr>
              <w:ind w:left="48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.40</w:t>
            </w:r>
          </w:p>
        </w:tc>
        <w:tc>
          <w:tcPr>
            <w:tcW w:w="280" w:type="dxa"/>
            <w:vAlign w:val="bottom"/>
            <w:shd w:val="clear" w:color="auto" w:fill="EEEEEE"/>
          </w:tcPr>
          <w:p>
            <w:pPr>
              <w:spacing w:after="0"/>
              <w:rPr>
                <w:sz w:val="16"/>
                <w:szCs w:val="16"/>
                <w:color w:val="auto"/>
              </w:rPr>
            </w:pPr>
          </w:p>
        </w:tc>
        <w:tc>
          <w:tcPr>
            <w:tcW w:w="580" w:type="dxa"/>
            <w:vAlign w:val="bottom"/>
            <w:gridSpan w:val="3"/>
            <w:shd w:val="clear" w:color="auto" w:fill="EEEEEE"/>
          </w:tcPr>
          <w:p>
            <w:pPr>
              <w:ind w:left="480"/>
              <w:spacing w:after="0"/>
              <w:rPr>
                <w:sz w:val="20"/>
                <w:szCs w:val="20"/>
                <w:color w:val="auto"/>
              </w:rPr>
            </w:pPr>
            <w:r>
              <w:rPr>
                <w:rFonts w:ascii="Arial" w:cs="Arial" w:eastAsia="Arial" w:hAnsi="Arial"/>
                <w:sz w:val="16"/>
                <w:szCs w:val="16"/>
                <w:color w:val="auto"/>
                <w:w w:val="89"/>
              </w:rPr>
              <w:t>$</w:t>
            </w:r>
          </w:p>
        </w:tc>
        <w:tc>
          <w:tcPr>
            <w:tcW w:w="520" w:type="dxa"/>
            <w:vAlign w:val="bottom"/>
            <w:gridSpan w:val="3"/>
            <w:shd w:val="clear" w:color="auto" w:fill="EEEEEE"/>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EEEEEE"/>
          </w:tcPr>
          <w:p>
            <w:pPr>
              <w:jc w:val="right"/>
              <w:ind w:right="2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-1198245</wp:posOffset>
            </wp:positionV>
            <wp:extent cx="12700" cy="355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3533775</wp:posOffset>
            </wp:positionH>
            <wp:positionV relativeFrom="paragraph">
              <wp:posOffset>-1198245</wp:posOffset>
            </wp:positionV>
            <wp:extent cx="12700" cy="35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-1198245</wp:posOffset>
            </wp:positionV>
            <wp:extent cx="12700" cy="355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-1198245</wp:posOffset>
            </wp:positionV>
            <wp:extent cx="12700" cy="355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-1198245</wp:posOffset>
            </wp:positionV>
            <wp:extent cx="12700" cy="355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-1198245</wp:posOffset>
            </wp:positionV>
            <wp:extent cx="12700" cy="355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5866765</wp:posOffset>
            </wp:positionH>
            <wp:positionV relativeFrom="paragraph">
              <wp:posOffset>-1198245</wp:posOffset>
            </wp:positionV>
            <wp:extent cx="12700" cy="355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-1198245</wp:posOffset>
            </wp:positionV>
            <wp:extent cx="12700" cy="355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6714490</wp:posOffset>
            </wp:positionH>
            <wp:positionV relativeFrom="paragraph">
              <wp:posOffset>-1198245</wp:posOffset>
            </wp:positionV>
            <wp:extent cx="12700" cy="3556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6464935</wp:posOffset>
            </wp:positionH>
            <wp:positionV relativeFrom="paragraph">
              <wp:posOffset>-1198245</wp:posOffset>
            </wp:positionV>
            <wp:extent cx="12700" cy="355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82" w:lineRule="exact"/>
        <w:rPr>
          <w:sz w:val="20"/>
          <w:szCs w:val="20"/>
          <w:color w:val="auto"/>
        </w:rPr>
      </w:pPr>
    </w:p>
    <w:p>
      <w:pPr>
        <w:ind w:left="565" w:hanging="565"/>
        <w:spacing w:after="0"/>
        <w:tabs>
          <w:tab w:leader="none" w:pos="56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Treasury Stock:</w:t>
      </w:r>
    </w:p>
    <w:p>
      <w:pPr>
        <w:spacing w:after="0" w:line="228" w:lineRule="exact"/>
        <w:rPr>
          <w:sz w:val="20"/>
          <w:szCs w:val="20"/>
          <w:color w:val="auto"/>
        </w:rPr>
      </w:pPr>
    </w:p>
    <w:p>
      <w:pPr>
        <w:ind w:left="5" w:right="260" w:firstLine="286"/>
        <w:spacing w:after="0" w:line="254" w:lineRule="auto"/>
        <w:rPr>
          <w:sz w:val="20"/>
          <w:szCs w:val="20"/>
          <w:color w:val="auto"/>
        </w:rPr>
      </w:pPr>
      <w:r>
        <w:rPr>
          <w:rFonts w:ascii="Arial" w:cs="Arial" w:eastAsia="Arial" w:hAnsi="Arial"/>
          <w:sz w:val="16"/>
          <w:szCs w:val="16"/>
          <w:color w:val="auto"/>
        </w:rPr>
        <w:t>On November 1, 1999, the Company’s Board of Directors authorized the purchase of up to 5,000,000 shares of the issued and outstanding Common Stock. As of December 31, 2003 the Company had purchased 3,587,300 of such shares at a total cost of $37.7 million. There were no outstanding commitments as of December 31, 2003 to repurchase the remaining 1,412,700 shares. When treasury shares are reissued, any difference between the average acquisition cost of the shares and the proceeds from re-issuance is charged or credited to additional paid-in capital.</w:t>
      </w:r>
    </w:p>
    <w:p>
      <w:pPr>
        <w:spacing w:after="0" w:line="169" w:lineRule="exact"/>
        <w:rPr>
          <w:sz w:val="20"/>
          <w:szCs w:val="20"/>
          <w:color w:val="auto"/>
        </w:rPr>
      </w:pPr>
    </w:p>
    <w:p>
      <w:pPr>
        <w:ind w:left="385" w:hanging="385"/>
        <w:spacing w:after="0"/>
        <w:tabs>
          <w:tab w:leader="none" w:pos="38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Comprehensive Income:</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accumulated balances for each classification of comprehensive income are as follows (in millions):</w:t>
      </w:r>
    </w:p>
    <w:p>
      <w:pPr>
        <w:spacing w:after="0" w:line="378"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4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For. Currency</w:t>
            </w:r>
          </w:p>
        </w:tc>
        <w:tc>
          <w:tcPr>
            <w:tcW w:w="300" w:type="dxa"/>
            <w:vAlign w:val="bottom"/>
          </w:tcPr>
          <w:p>
            <w:pPr>
              <w:spacing w:after="0"/>
              <w:rPr>
                <w:sz w:val="12"/>
                <w:szCs w:val="12"/>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Minimum</w:t>
            </w:r>
          </w:p>
        </w:tc>
        <w:tc>
          <w:tcPr>
            <w:tcW w:w="300" w:type="dxa"/>
            <w:vAlign w:val="bottom"/>
          </w:tcPr>
          <w:p>
            <w:pPr>
              <w:spacing w:after="0"/>
              <w:rPr>
                <w:sz w:val="12"/>
                <w:szCs w:val="1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Cash Flow</w:t>
            </w:r>
          </w:p>
        </w:tc>
        <w:tc>
          <w:tcPr>
            <w:tcW w:w="300" w:type="dxa"/>
            <w:vAlign w:val="bottom"/>
          </w:tcPr>
          <w:p>
            <w:pPr>
              <w:spacing w:after="0"/>
              <w:rPr>
                <w:sz w:val="12"/>
                <w:szCs w:val="12"/>
                <w:color w:val="auto"/>
              </w:rPr>
            </w:pPr>
          </w:p>
        </w:tc>
        <w:tc>
          <w:tcPr>
            <w:tcW w:w="178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Unrealized Gains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Translation Adj.</w:t>
            </w:r>
          </w:p>
        </w:tc>
        <w:tc>
          <w:tcPr>
            <w:tcW w:w="300" w:type="dxa"/>
            <w:vAlign w:val="bottom"/>
          </w:tcPr>
          <w:p>
            <w:pPr>
              <w:spacing w:after="0"/>
              <w:rPr>
                <w:sz w:val="13"/>
                <w:szCs w:val="13"/>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Pension Liab.</w:t>
            </w:r>
          </w:p>
        </w:tc>
        <w:tc>
          <w:tcPr>
            <w:tcW w:w="300" w:type="dxa"/>
            <w:vAlign w:val="bottom"/>
          </w:tcPr>
          <w:p>
            <w:pPr>
              <w:spacing w:after="0"/>
              <w:rPr>
                <w:sz w:val="13"/>
                <w:szCs w:val="13"/>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Hedges</w:t>
            </w:r>
          </w:p>
        </w:tc>
        <w:tc>
          <w:tcPr>
            <w:tcW w:w="300" w:type="dxa"/>
            <w:vAlign w:val="bottom"/>
          </w:tcPr>
          <w:p>
            <w:pPr>
              <w:spacing w:after="0"/>
              <w:rPr>
                <w:sz w:val="13"/>
                <w:szCs w:val="13"/>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on Securities</w:t>
            </w:r>
          </w:p>
        </w:tc>
        <w:tc>
          <w:tcPr>
            <w:tcW w:w="300" w:type="dxa"/>
            <w:vAlign w:val="bottom"/>
          </w:tcPr>
          <w:p>
            <w:pPr>
              <w:spacing w:after="0"/>
              <w:rPr>
                <w:sz w:val="13"/>
                <w:szCs w:val="13"/>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December 31, 2001</w:t>
            </w:r>
          </w:p>
        </w:tc>
        <w:tc>
          <w:tcPr>
            <w:tcW w:w="1740" w:type="dxa"/>
            <w:vAlign w:val="bottom"/>
            <w:gridSpan w:val="4"/>
            <w:shd w:val="clear" w:color="auto" w:fill="EEEEEE"/>
          </w:tcPr>
          <w:p>
            <w:pPr>
              <w:jc w:val="right"/>
              <w:ind w:right="600"/>
              <w:spacing w:after="0"/>
              <w:rPr>
                <w:sz w:val="20"/>
                <w:szCs w:val="20"/>
                <w:color w:val="auto"/>
              </w:rPr>
            </w:pPr>
            <w:r>
              <w:rPr>
                <w:rFonts w:ascii="Arial" w:cs="Arial" w:eastAsia="Arial" w:hAnsi="Arial"/>
                <w:sz w:val="16"/>
                <w:szCs w:val="16"/>
                <w:color w:val="auto"/>
              </w:rPr>
              <w:t>$(57.4)</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EEEEEE"/>
          </w:tcPr>
          <w:p>
            <w:pPr>
              <w:jc w:val="right"/>
              <w:ind w:right="480"/>
              <w:spacing w:after="0"/>
              <w:rPr>
                <w:sz w:val="20"/>
                <w:szCs w:val="20"/>
                <w:color w:val="auto"/>
              </w:rPr>
            </w:pPr>
            <w:r>
              <w:rPr>
                <w:rFonts w:ascii="Arial" w:cs="Arial" w:eastAsia="Arial" w:hAnsi="Arial"/>
                <w:sz w:val="16"/>
                <w:szCs w:val="16"/>
                <w:color w:val="auto"/>
              </w:rPr>
              <w:t>(7.8)</w:t>
            </w:r>
          </w:p>
        </w:tc>
        <w:tc>
          <w:tcPr>
            <w:tcW w:w="1400" w:type="dxa"/>
            <w:vAlign w:val="bottom"/>
            <w:gridSpan w:val="4"/>
            <w:shd w:val="clear" w:color="auto" w:fill="EEEEEE"/>
          </w:tcPr>
          <w:p>
            <w:pPr>
              <w:jc w:val="right"/>
              <w:ind w:right="380"/>
              <w:spacing w:after="0"/>
              <w:rPr>
                <w:sz w:val="20"/>
                <w:szCs w:val="20"/>
                <w:color w:val="auto"/>
              </w:rPr>
            </w:pPr>
            <w:r>
              <w:rPr>
                <w:rFonts w:ascii="Arial" w:cs="Arial" w:eastAsia="Arial" w:hAnsi="Arial"/>
                <w:sz w:val="16"/>
                <w:szCs w:val="16"/>
                <w:color w:val="auto"/>
              </w:rPr>
              <w:t>$(3.1)</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EEEEE"/>
          </w:tcPr>
          <w:p>
            <w:pPr>
              <w:jc w:val="right"/>
              <w:ind w:right="76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w w:val="86"/>
              </w:rPr>
              <w:t>(68.3)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Net change during 2002 (restated)</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6"/>
                <w:szCs w:val="16"/>
                <w:color w:val="auto"/>
                <w:w w:val="86"/>
              </w:rPr>
              <w:t>(29.4)</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(10.2)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December 31, 2002 (restated)</w:t>
            </w:r>
          </w:p>
        </w:tc>
        <w:tc>
          <w:tcPr>
            <w:tcW w:w="1740" w:type="dxa"/>
            <w:vAlign w:val="bottom"/>
            <w:gridSpan w:val="4"/>
            <w:shd w:val="clear" w:color="auto" w:fill="EEEEEE"/>
          </w:tcPr>
          <w:p>
            <w:pPr>
              <w:jc w:val="right"/>
              <w:ind w:right="600"/>
              <w:spacing w:after="0"/>
              <w:rPr>
                <w:sz w:val="20"/>
                <w:szCs w:val="20"/>
                <w:color w:val="auto"/>
              </w:rPr>
            </w:pPr>
            <w:r>
              <w:rPr>
                <w:rFonts w:ascii="Arial" w:cs="Arial" w:eastAsia="Arial" w:hAnsi="Arial"/>
                <w:sz w:val="16"/>
                <w:szCs w:val="16"/>
                <w:color w:val="auto"/>
              </w:rPr>
              <w:t>(40.5)</w:t>
            </w:r>
          </w:p>
        </w:tc>
        <w:tc>
          <w:tcPr>
            <w:tcW w:w="30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860" w:type="dxa"/>
            <w:vAlign w:val="bottom"/>
            <w:gridSpan w:val="3"/>
            <w:shd w:val="clear" w:color="auto" w:fill="EEEEEE"/>
          </w:tcPr>
          <w:p>
            <w:pPr>
              <w:jc w:val="right"/>
              <w:ind w:right="480"/>
              <w:spacing w:after="0"/>
              <w:rPr>
                <w:sz w:val="20"/>
                <w:szCs w:val="20"/>
                <w:color w:val="auto"/>
              </w:rPr>
            </w:pPr>
            <w:r>
              <w:rPr>
                <w:rFonts w:ascii="Arial" w:cs="Arial" w:eastAsia="Arial" w:hAnsi="Arial"/>
                <w:sz w:val="16"/>
                <w:szCs w:val="16"/>
                <w:color w:val="auto"/>
                <w:w w:val="86"/>
              </w:rPr>
              <w:t>(37.2)</w:t>
            </w:r>
          </w:p>
        </w:tc>
        <w:tc>
          <w:tcPr>
            <w:tcW w:w="1400" w:type="dxa"/>
            <w:vAlign w:val="bottom"/>
            <w:gridSpan w:val="4"/>
            <w:shd w:val="clear" w:color="auto" w:fill="EEEEEE"/>
          </w:tcPr>
          <w:p>
            <w:pPr>
              <w:jc w:val="right"/>
              <w:ind w:right="380"/>
              <w:spacing w:after="0"/>
              <w:rPr>
                <w:sz w:val="20"/>
                <w:szCs w:val="20"/>
                <w:color w:val="auto"/>
              </w:rPr>
            </w:pPr>
            <w:r>
              <w:rPr>
                <w:rFonts w:ascii="Arial" w:cs="Arial" w:eastAsia="Arial" w:hAnsi="Arial"/>
                <w:sz w:val="16"/>
                <w:szCs w:val="16"/>
                <w:color w:val="auto"/>
              </w:rPr>
              <w:t>(0.8)</w:t>
            </w:r>
          </w:p>
        </w:tc>
        <w:tc>
          <w:tcPr>
            <w:tcW w:w="30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760"/>
              <w:spacing w:after="0"/>
              <w:rPr>
                <w:sz w:val="20"/>
                <w:szCs w:val="20"/>
                <w:color w:val="auto"/>
              </w:rPr>
            </w:pPr>
            <w:r>
              <w:rPr>
                <w:rFonts w:ascii="Arial" w:cs="Arial" w:eastAsia="Arial" w:hAnsi="Arial"/>
                <w:sz w:val="16"/>
                <w:szCs w:val="16"/>
                <w:color w:val="auto"/>
              </w:rPr>
              <w:t>—</w:t>
            </w:r>
          </w:p>
        </w:tc>
        <w:tc>
          <w:tcPr>
            <w:tcW w:w="30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w w:val="86"/>
              </w:rPr>
              <w:t>(78.5)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Net change during 2003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6"/>
                <w:szCs w:val="16"/>
                <w:color w:val="auto"/>
              </w:rPr>
              <w:t>(5.2)</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76"/>
              </w:rPr>
              <w:t>12.2</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72.1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6"/>
                <w:szCs w:val="16"/>
                <w:color w:val="auto"/>
              </w:rPr>
              <w:t>December 31, 2003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$ 22.8</w:t>
            </w:r>
          </w:p>
        </w:tc>
        <w:tc>
          <w:tcPr>
            <w:tcW w:w="2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EEEEEE"/>
          </w:tcPr>
          <w:p>
            <w:pPr>
              <w:jc w:val="right"/>
              <w:ind w:right="480"/>
              <w:spacing w:after="0"/>
              <w:rPr>
                <w:sz w:val="20"/>
                <w:szCs w:val="20"/>
                <w:color w:val="auto"/>
              </w:rPr>
            </w:pPr>
            <w:r>
              <w:rPr>
                <w:rFonts w:ascii="Arial" w:cs="Arial" w:eastAsia="Arial" w:hAnsi="Arial"/>
                <w:sz w:val="16"/>
                <w:szCs w:val="16"/>
                <w:color w:val="auto"/>
                <w:w w:val="86"/>
              </w:rPr>
              <w:t>(42.4)</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$ 1.0</w:t>
            </w:r>
          </w:p>
        </w:tc>
        <w:tc>
          <w:tcPr>
            <w:tcW w:w="420" w:type="dxa"/>
            <w:vAlign w:val="bottom"/>
            <w:shd w:val="clear" w:color="auto" w:fill="EEEEEE"/>
          </w:tcPr>
          <w:p>
            <w:pPr>
              <w:spacing w:after="0"/>
              <w:rPr>
                <w:sz w:val="16"/>
                <w:szCs w:val="16"/>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6"/>
              </w:rPr>
              <w:t>12.2</w:t>
            </w:r>
          </w:p>
        </w:tc>
        <w:tc>
          <w:tcPr>
            <w:tcW w:w="760" w:type="dxa"/>
            <w:vAlign w:val="bottom"/>
            <w:shd w:val="clear" w:color="auto" w:fill="EEEEEE"/>
          </w:tcPr>
          <w:p>
            <w:pPr>
              <w:spacing w:after="0"/>
              <w:rPr>
                <w:sz w:val="16"/>
                <w:szCs w:val="16"/>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-34925</wp:posOffset>
            </wp:positionV>
            <wp:extent cx="12700" cy="355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-34925</wp:posOffset>
            </wp:positionV>
            <wp:extent cx="12700" cy="355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-34925</wp:posOffset>
            </wp:positionV>
            <wp:extent cx="12700" cy="355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-34925</wp:posOffset>
            </wp:positionV>
            <wp:extent cx="12700" cy="355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-34925</wp:posOffset>
            </wp:positionV>
            <wp:extent cx="12700" cy="355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-34925</wp:posOffset>
            </wp:positionV>
            <wp:extent cx="12700" cy="355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-34925</wp:posOffset>
            </wp:positionV>
            <wp:extent cx="12700" cy="355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-34925</wp:posOffset>
            </wp:positionV>
            <wp:extent cx="12700" cy="355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-34925</wp:posOffset>
            </wp:positionV>
            <wp:extent cx="12700" cy="355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6911975</wp:posOffset>
            </wp:positionH>
            <wp:positionV relativeFrom="paragraph">
              <wp:posOffset>-34925</wp:posOffset>
            </wp:positionV>
            <wp:extent cx="12700" cy="355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5" w:right="60" w:firstLine="286"/>
        <w:spacing w:after="0" w:line="264" w:lineRule="auto"/>
        <w:rPr>
          <w:sz w:val="20"/>
          <w:szCs w:val="20"/>
          <w:color w:val="auto"/>
        </w:rPr>
      </w:pPr>
      <w:r>
        <w:rPr>
          <w:rFonts w:ascii="Arial" w:cs="Arial" w:eastAsia="Arial" w:hAnsi="Arial"/>
          <w:sz w:val="16"/>
          <w:szCs w:val="16"/>
          <w:color w:val="auto"/>
        </w:rPr>
        <w:t>The net change in cash flow hedges during 2003 consisted of $4.3 million, net of tax of $(1.5) million, in reclassifications to earnings and $(1.6) million, net of tax of $0.6 million, in changes in the fair value of</w:t>
      </w:r>
    </w:p>
    <w:p>
      <w:pPr>
        <w:spacing w:after="0" w:line="16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77" w:name="page78"/>
    <w:bookmarkEnd w:id="77"/>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left="5" w:right="240"/>
        <w:spacing w:after="0" w:line="264" w:lineRule="auto"/>
        <w:rPr>
          <w:sz w:val="20"/>
          <w:szCs w:val="20"/>
          <w:color w:val="auto"/>
        </w:rPr>
      </w:pPr>
      <w:r>
        <w:rPr>
          <w:rFonts w:ascii="Arial" w:cs="Arial" w:eastAsia="Arial" w:hAnsi="Arial"/>
          <w:sz w:val="16"/>
          <w:szCs w:val="16"/>
          <w:color w:val="auto"/>
        </w:rPr>
        <w:t>derivative contracts and during 2002 was $3.1 million, net of tax of $(1.3) million, in reclassifications to earnings and $(0.8) million, net of tax of $0.3 million, in changes in the fair value of derivative contracts.</w:t>
      </w:r>
    </w:p>
    <w:p>
      <w:pPr>
        <w:spacing w:after="0" w:line="162" w:lineRule="exact"/>
        <w:rPr>
          <w:sz w:val="20"/>
          <w:szCs w:val="20"/>
          <w:color w:val="auto"/>
        </w:rPr>
      </w:pPr>
    </w:p>
    <w:p>
      <w:pPr>
        <w:ind w:left="385" w:hanging="385"/>
        <w:spacing w:after="0"/>
        <w:tabs>
          <w:tab w:leader="none" w:pos="385"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Other Intangible Assets</w:t>
      </w:r>
    </w:p>
    <w:p>
      <w:pPr>
        <w:spacing w:after="0" w:line="228" w:lineRule="exact"/>
        <w:rPr>
          <w:sz w:val="20"/>
          <w:szCs w:val="20"/>
          <w:color w:val="auto"/>
        </w:rPr>
      </w:pPr>
    </w:p>
    <w:p>
      <w:pPr>
        <w:ind w:left="5" w:right="340" w:firstLine="286"/>
        <w:spacing w:after="0" w:line="310" w:lineRule="auto"/>
        <w:rPr>
          <w:sz w:val="20"/>
          <w:szCs w:val="20"/>
          <w:color w:val="auto"/>
        </w:rPr>
      </w:pPr>
      <w:r>
        <w:rPr>
          <w:rFonts w:ascii="Arial" w:cs="Arial" w:eastAsia="Arial" w:hAnsi="Arial"/>
          <w:sz w:val="14"/>
          <w:szCs w:val="14"/>
          <w:color w:val="auto"/>
        </w:rPr>
        <w:t>On January 1, 2002, the Company adopted Statement of Financial Accounting Standards No. 142, “Goodwill and Other Intangible Assets,” and recorded a $283.4 million impairment of goodwill ($247.6 million, net of tax). During the first quarter of 2003, the Company performed its annual goodwill impairment test and determined that no goodwill impairment existed. The changes in the carrying amount of goodwill for the years ended December 31, 2003 and 2002, in total and by segment, are as follows (in millions):</w:t>
      </w:r>
    </w:p>
    <w:p>
      <w:pPr>
        <w:spacing w:after="0" w:line="32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7"/>
          </w:tcPr>
          <w:p>
            <w:pPr>
              <w:jc w:val="center"/>
              <w:ind w:right="120"/>
              <w:spacing w:after="0"/>
              <w:rPr>
                <w:sz w:val="20"/>
                <w:szCs w:val="20"/>
                <w:color w:val="auto"/>
              </w:rPr>
            </w:pPr>
            <w:r>
              <w:rPr>
                <w:rFonts w:ascii="Arial" w:cs="Arial" w:eastAsia="Arial" w:hAnsi="Arial"/>
                <w:sz w:val="12"/>
                <w:szCs w:val="12"/>
                <w:b w:val="1"/>
                <w:bCs w:val="1"/>
                <w:color w:val="auto"/>
                <w:w w:val="86"/>
              </w:rPr>
              <w:t>Balance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6"/>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7"/>
          </w:tcPr>
          <w:p>
            <w:pPr>
              <w:jc w:val="center"/>
              <w:ind w:right="14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7"/>
          </w:tcPr>
          <w:p>
            <w:pPr>
              <w:ind w:left="240"/>
              <w:spacing w:after="0" w:line="132" w:lineRule="exact"/>
              <w:rPr>
                <w:sz w:val="20"/>
                <w:szCs w:val="20"/>
                <w:color w:val="auto"/>
              </w:rPr>
            </w:pPr>
            <w:r>
              <w:rPr>
                <w:rFonts w:ascii="Arial" w:cs="Arial" w:eastAsia="Arial" w:hAnsi="Arial"/>
                <w:sz w:val="12"/>
                <w:szCs w:val="12"/>
                <w:b w:val="1"/>
                <w:bCs w:val="1"/>
                <w:color w:val="auto"/>
              </w:rPr>
              <w:t>Goodwill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right"/>
              <w:ind w:right="640"/>
              <w:spacing w:after="0" w:line="132" w:lineRule="exact"/>
              <w:rPr>
                <w:sz w:val="20"/>
                <w:szCs w:val="20"/>
                <w:color w:val="auto"/>
              </w:rPr>
            </w:pPr>
            <w:r>
              <w:rPr>
                <w:rFonts w:ascii="Arial" w:cs="Arial" w:eastAsia="Arial" w:hAnsi="Arial"/>
                <w:sz w:val="12"/>
                <w:szCs w:val="12"/>
                <w:b w:val="1"/>
                <w:bCs w:val="1"/>
                <w:color w:val="auto"/>
              </w:rPr>
              <w:t>Foreign Currency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jc w:val="center"/>
              <w:spacing w:after="0" w:line="132"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tcPr>
          <w:p>
            <w:pPr>
              <w:ind w:left="1600"/>
              <w:spacing w:after="0"/>
              <w:rPr>
                <w:sz w:val="20"/>
                <w:szCs w:val="20"/>
                <w:color w:val="auto"/>
              </w:rPr>
            </w:pPr>
            <w:r>
              <w:rPr>
                <w:rFonts w:ascii="Arial" w:cs="Arial" w:eastAsia="Arial" w:hAnsi="Arial"/>
                <w:sz w:val="12"/>
                <w:szCs w:val="12"/>
                <w:b w:val="1"/>
                <w:bCs w:val="1"/>
                <w:color w:val="auto"/>
              </w:rPr>
              <w:t>Segment</w:t>
            </w:r>
          </w:p>
        </w:tc>
        <w:tc>
          <w:tcPr>
            <w:tcW w:w="1300" w:type="dxa"/>
            <w:vAlign w:val="bottom"/>
            <w:gridSpan w:val="7"/>
          </w:tcPr>
          <w:p>
            <w:pPr>
              <w:jc w:val="center"/>
              <w:ind w:left="785"/>
              <w:spacing w:after="0"/>
              <w:rPr>
                <w:sz w:val="20"/>
                <w:szCs w:val="20"/>
                <w:color w:val="auto"/>
              </w:rPr>
            </w:pPr>
            <w:r>
              <w:rPr>
                <w:rFonts w:ascii="Arial" w:cs="Arial" w:eastAsia="Arial" w:hAnsi="Arial"/>
                <w:sz w:val="12"/>
                <w:szCs w:val="12"/>
                <w:b w:val="1"/>
                <w:bCs w:val="1"/>
                <w:color w:val="auto"/>
                <w:w w:val="89"/>
              </w:rPr>
              <w:t>2001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7"/>
          </w:tcPr>
          <w:p>
            <w:pPr>
              <w:ind w:left="160"/>
              <w:spacing w:after="0"/>
              <w:rPr>
                <w:sz w:val="20"/>
                <w:szCs w:val="20"/>
                <w:color w:val="auto"/>
              </w:rPr>
            </w:pPr>
            <w:r>
              <w:rPr>
                <w:rFonts w:ascii="Arial" w:cs="Arial" w:eastAsia="Arial" w:hAnsi="Arial"/>
                <w:sz w:val="12"/>
                <w:szCs w:val="12"/>
                <w:b w:val="1"/>
                <w:bCs w:val="1"/>
                <w:color w:val="auto"/>
              </w:rPr>
              <w:t>Impairment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ind w:left="560"/>
              <w:spacing w:after="0"/>
              <w:rPr>
                <w:sz w:val="20"/>
                <w:szCs w:val="20"/>
                <w:color w:val="auto"/>
              </w:rPr>
            </w:pPr>
            <w:r>
              <w:rPr>
                <w:rFonts w:ascii="Arial" w:cs="Arial" w:eastAsia="Arial" w:hAnsi="Arial"/>
                <w:sz w:val="12"/>
                <w:szCs w:val="12"/>
                <w:b w:val="1"/>
                <w:bCs w:val="1"/>
                <w:color w:val="auto"/>
              </w:rPr>
              <w:t>Translation &amp; Other</w:t>
            </w:r>
          </w:p>
        </w:tc>
        <w:tc>
          <w:tcPr>
            <w:tcW w:w="1300" w:type="dxa"/>
            <w:vAlign w:val="bottom"/>
            <w:gridSpan w:val="5"/>
          </w:tcPr>
          <w:p>
            <w:pPr>
              <w:jc w:val="center"/>
              <w:ind w:left="785"/>
              <w:spacing w:after="0"/>
              <w:rPr>
                <w:sz w:val="20"/>
                <w:szCs w:val="20"/>
                <w:color w:val="auto"/>
              </w:rPr>
            </w:pPr>
            <w:r>
              <w:rPr>
                <w:rFonts w:ascii="Arial" w:cs="Arial" w:eastAsia="Arial" w:hAnsi="Arial"/>
                <w:sz w:val="12"/>
                <w:szCs w:val="12"/>
                <w:b w:val="1"/>
                <w:bCs w:val="1"/>
                <w:color w:val="auto"/>
                <w:w w:val="89"/>
              </w:rPr>
              <w:t>2002</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6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6"/>
                <w:szCs w:val="16"/>
                <w:color w:val="auto"/>
              </w:rPr>
              <w:t>Residential</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$104.1</w:t>
            </w: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800" w:type="dxa"/>
            <w:vAlign w:val="bottom"/>
            <w:gridSpan w:val="5"/>
            <w:shd w:val="clear" w:color="auto" w:fill="EEEEEE"/>
          </w:tcPr>
          <w:p>
            <w:pPr>
              <w:ind w:left="660"/>
              <w:spacing w:after="0"/>
              <w:rPr>
                <w:sz w:val="20"/>
                <w:szCs w:val="20"/>
                <w:color w:val="auto"/>
              </w:rPr>
            </w:pPr>
            <w:r>
              <w:rPr>
                <w:rFonts w:ascii="Arial" w:cs="Arial" w:eastAsia="Arial" w:hAnsi="Arial"/>
                <w:sz w:val="16"/>
                <w:szCs w:val="16"/>
                <w:color w:val="auto"/>
              </w:rPr>
              <w:t>$</w:t>
            </w: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80"/>
              <w:spacing w:after="0"/>
              <w:rPr>
                <w:sz w:val="20"/>
                <w:szCs w:val="20"/>
                <w:color w:val="auto"/>
              </w:rPr>
            </w:pPr>
            <w:r>
              <w:rPr>
                <w:rFonts w:ascii="Arial" w:cs="Arial" w:eastAsia="Arial" w:hAnsi="Arial"/>
                <w:sz w:val="16"/>
                <w:szCs w:val="16"/>
                <w:color w:val="auto"/>
                <w:w w:val="86"/>
              </w:rPr>
              <w:t>(77.1)</w:t>
            </w:r>
          </w:p>
        </w:tc>
        <w:tc>
          <w:tcPr>
            <w:tcW w:w="120" w:type="dxa"/>
            <w:vAlign w:val="bottom"/>
            <w:shd w:val="clear" w:color="auto" w:fill="EEEEEE"/>
          </w:tcPr>
          <w:p>
            <w:pPr>
              <w:spacing w:after="0"/>
              <w:rPr>
                <w:sz w:val="16"/>
                <w:szCs w:val="16"/>
                <w:color w:val="auto"/>
              </w:rPr>
            </w:pPr>
          </w:p>
        </w:tc>
        <w:tc>
          <w:tcPr>
            <w:tcW w:w="15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$ 0.1</w:t>
            </w: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$ 27.1</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Commercial</w:t>
            </w:r>
          </w:p>
        </w:tc>
        <w:tc>
          <w:tcPr>
            <w:tcW w:w="1300" w:type="dxa"/>
            <w:vAlign w:val="bottom"/>
            <w:gridSpan w:val="7"/>
          </w:tcPr>
          <w:p>
            <w:pPr>
              <w:jc w:val="right"/>
              <w:spacing w:after="0"/>
              <w:rPr>
                <w:sz w:val="20"/>
                <w:szCs w:val="20"/>
                <w:color w:val="auto"/>
              </w:rPr>
            </w:pPr>
            <w:r>
              <w:rPr>
                <w:rFonts w:ascii="Arial" w:cs="Arial" w:eastAsia="Arial" w:hAnsi="Arial"/>
                <w:sz w:val="16"/>
                <w:szCs w:val="16"/>
                <w:color w:val="auto"/>
              </w:rPr>
              <w:t>22.7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jc w:val="right"/>
              <w:ind w:right="440"/>
              <w:spacing w:after="0"/>
              <w:rPr>
                <w:sz w:val="20"/>
                <w:szCs w:val="20"/>
                <w:color w:val="auto"/>
              </w:rPr>
            </w:pPr>
            <w:r>
              <w:rPr>
                <w:rFonts w:ascii="Arial" w:cs="Arial" w:eastAsia="Arial" w:hAnsi="Arial"/>
                <w:sz w:val="16"/>
                <w:szCs w:val="16"/>
                <w:color w:val="auto"/>
              </w:rPr>
              <w:t>—</w:t>
            </w:r>
          </w:p>
        </w:tc>
        <w:tc>
          <w:tcPr>
            <w:tcW w:w="1520" w:type="dxa"/>
            <w:vAlign w:val="bottom"/>
            <w:gridSpan w:val="6"/>
          </w:tcPr>
          <w:p>
            <w:pPr>
              <w:jc w:val="right"/>
              <w:spacing w:after="0"/>
              <w:rPr>
                <w:sz w:val="20"/>
                <w:szCs w:val="20"/>
                <w:color w:val="auto"/>
              </w:rPr>
            </w:pPr>
            <w:r>
              <w:rPr>
                <w:rFonts w:ascii="Arial" w:cs="Arial" w:eastAsia="Arial" w:hAnsi="Arial"/>
                <w:sz w:val="16"/>
                <w:szCs w:val="16"/>
                <w:color w:val="auto"/>
              </w:rPr>
              <w:t>3.2</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gridSpan w:val="6"/>
          </w:tcPr>
          <w:p>
            <w:pPr>
              <w:jc w:val="right"/>
              <w:spacing w:after="0"/>
              <w:rPr>
                <w:sz w:val="20"/>
                <w:szCs w:val="20"/>
                <w:color w:val="auto"/>
              </w:rPr>
            </w:pPr>
            <w:r>
              <w:rPr>
                <w:rFonts w:ascii="Arial" w:cs="Arial" w:eastAsia="Arial" w:hAnsi="Arial"/>
                <w:sz w:val="16"/>
                <w:szCs w:val="16"/>
                <w:color w:val="auto"/>
              </w:rPr>
              <w:t>25.9</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Heating &amp; Cooling</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126.8</w:t>
            </w: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660" w:type="dxa"/>
            <w:vAlign w:val="bottom"/>
            <w:gridSpan w:val="3"/>
            <w:shd w:val="clear" w:color="auto" w:fill="EEEEEE"/>
          </w:tcPr>
          <w:p>
            <w:pPr>
              <w:jc w:val="right"/>
              <w:ind w:right="280"/>
              <w:spacing w:after="0"/>
              <w:rPr>
                <w:sz w:val="20"/>
                <w:szCs w:val="20"/>
                <w:color w:val="auto"/>
              </w:rPr>
            </w:pPr>
            <w:r>
              <w:rPr>
                <w:rFonts w:ascii="Arial" w:cs="Arial" w:eastAsia="Arial" w:hAnsi="Arial"/>
                <w:sz w:val="16"/>
                <w:szCs w:val="16"/>
                <w:color w:val="auto"/>
                <w:w w:val="86"/>
              </w:rPr>
              <w:t>(77.1)</w:t>
            </w:r>
          </w:p>
        </w:tc>
        <w:tc>
          <w:tcPr>
            <w:tcW w:w="120" w:type="dxa"/>
            <w:vAlign w:val="bottom"/>
            <w:shd w:val="clear" w:color="auto" w:fill="EEEEEE"/>
          </w:tcPr>
          <w:p>
            <w:pPr>
              <w:spacing w:after="0"/>
              <w:rPr>
                <w:sz w:val="16"/>
                <w:szCs w:val="16"/>
                <w:color w:val="auto"/>
              </w:rPr>
            </w:pPr>
          </w:p>
        </w:tc>
        <w:tc>
          <w:tcPr>
            <w:tcW w:w="15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3.3</w:t>
            </w: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53.0</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Service Experts (restated)</w:t>
            </w:r>
          </w:p>
        </w:tc>
        <w:tc>
          <w:tcPr>
            <w:tcW w:w="1300" w:type="dxa"/>
            <w:vAlign w:val="bottom"/>
            <w:gridSpan w:val="7"/>
          </w:tcPr>
          <w:p>
            <w:pPr>
              <w:jc w:val="right"/>
              <w:spacing w:after="0"/>
              <w:rPr>
                <w:sz w:val="20"/>
                <w:szCs w:val="20"/>
                <w:color w:val="auto"/>
              </w:rPr>
            </w:pPr>
            <w:r>
              <w:rPr>
                <w:rFonts w:ascii="Arial" w:cs="Arial" w:eastAsia="Arial" w:hAnsi="Arial"/>
                <w:sz w:val="16"/>
                <w:szCs w:val="16"/>
                <w:color w:val="auto"/>
              </w:rPr>
              <w:t>510.8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9"/>
          </w:tcPr>
          <w:p>
            <w:pPr>
              <w:jc w:val="right"/>
              <w:ind w:right="280"/>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6"/>
                <w:szCs w:val="16"/>
                <w:color w:val="auto"/>
              </w:rPr>
            </w:pPr>
          </w:p>
        </w:tc>
        <w:tc>
          <w:tcPr>
            <w:tcW w:w="2440" w:type="dxa"/>
            <w:vAlign w:val="bottom"/>
            <w:gridSpan w:val="7"/>
          </w:tcPr>
          <w:p>
            <w:pPr>
              <w:jc w:val="right"/>
              <w:ind w:right="880"/>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6"/>
                <w:szCs w:val="16"/>
                <w:color w:val="auto"/>
              </w:rPr>
            </w:pPr>
          </w:p>
        </w:tc>
        <w:tc>
          <w:tcPr>
            <w:tcW w:w="1320" w:type="dxa"/>
            <w:vAlign w:val="bottom"/>
            <w:gridSpan w:val="6"/>
          </w:tcPr>
          <w:p>
            <w:pPr>
              <w:jc w:val="right"/>
              <w:spacing w:after="0"/>
              <w:rPr>
                <w:sz w:val="20"/>
                <w:szCs w:val="20"/>
                <w:color w:val="auto"/>
              </w:rPr>
            </w:pPr>
            <w:r>
              <w:rPr>
                <w:rFonts w:ascii="Arial" w:cs="Arial" w:eastAsia="Arial" w:hAnsi="Arial"/>
                <w:sz w:val="16"/>
                <w:szCs w:val="16"/>
                <w:color w:val="auto"/>
              </w:rPr>
              <w:t>307.4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6"/>
                <w:szCs w:val="16"/>
                <w:color w:val="auto"/>
              </w:rPr>
              <w:t>Refrigeration</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57.2</w:t>
            </w: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w:t>
            </w:r>
          </w:p>
        </w:tc>
        <w:tc>
          <w:tcPr>
            <w:tcW w:w="15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3.1</w:t>
            </w: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60.3</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Heat Transfer</w:t>
            </w:r>
          </w:p>
        </w:tc>
        <w:tc>
          <w:tcPr>
            <w:tcW w:w="1300" w:type="dxa"/>
            <w:vAlign w:val="bottom"/>
            <w:gridSpan w:val="7"/>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2440" w:type="dxa"/>
            <w:vAlign w:val="bottom"/>
            <w:gridSpan w:val="7"/>
          </w:tcPr>
          <w:p>
            <w:pPr>
              <w:jc w:val="right"/>
              <w:ind w:right="88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shd w:val="clear" w:color="auto" w:fill="EEEEEE"/>
          </w:tcPr>
          <w:p>
            <w:pPr>
              <w:ind w:left="580"/>
              <w:spacing w:after="0"/>
              <w:rPr>
                <w:sz w:val="20"/>
                <w:szCs w:val="20"/>
                <w:color w:val="auto"/>
              </w:rPr>
            </w:pPr>
            <w:r>
              <w:rPr>
                <w:rFonts w:ascii="Arial" w:cs="Arial" w:eastAsia="Arial" w:hAnsi="Arial"/>
                <w:sz w:val="16"/>
                <w:szCs w:val="16"/>
                <w:color w:val="auto"/>
              </w:rPr>
              <w:t>Total (restated)</w:t>
            </w:r>
          </w:p>
        </w:tc>
        <w:tc>
          <w:tcPr>
            <w:tcW w:w="1300" w:type="dxa"/>
            <w:vAlign w:val="bottom"/>
            <w:gridSpan w:val="7"/>
            <w:shd w:val="clear" w:color="auto" w:fill="EEEEEE"/>
          </w:tcPr>
          <w:p>
            <w:pPr>
              <w:jc w:val="right"/>
              <w:spacing w:after="0"/>
              <w:rPr>
                <w:sz w:val="20"/>
                <w:szCs w:val="20"/>
                <w:color w:val="auto"/>
              </w:rPr>
            </w:pPr>
            <w:r>
              <w:rPr>
                <w:rFonts w:ascii="Arial" w:cs="Arial" w:eastAsia="Arial" w:hAnsi="Arial"/>
                <w:sz w:val="16"/>
                <w:szCs w:val="16"/>
                <w:color w:val="auto"/>
              </w:rPr>
              <w:t>$704.7</w:t>
            </w: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480" w:type="dxa"/>
            <w:vAlign w:val="bottom"/>
            <w:gridSpan w:val="9"/>
            <w:shd w:val="clear" w:color="auto" w:fill="EEEEEE"/>
          </w:tcPr>
          <w:p>
            <w:pPr>
              <w:jc w:val="right"/>
              <w:ind w:right="280"/>
              <w:spacing w:after="0"/>
              <w:rPr>
                <w:sz w:val="20"/>
                <w:szCs w:val="20"/>
                <w:color w:val="auto"/>
              </w:rPr>
            </w:pPr>
            <w:r>
              <w:rPr>
                <w:rFonts w:ascii="Arial" w:cs="Arial" w:eastAsia="Arial" w:hAnsi="Arial"/>
                <w:sz w:val="16"/>
                <w:szCs w:val="16"/>
                <w:color w:val="auto"/>
              </w:rPr>
              <w:t>$(283.7)</w:t>
            </w:r>
          </w:p>
        </w:tc>
        <w:tc>
          <w:tcPr>
            <w:tcW w:w="120" w:type="dxa"/>
            <w:vAlign w:val="bottom"/>
            <w:shd w:val="clear" w:color="auto" w:fill="EEEEEE"/>
          </w:tcPr>
          <w:p>
            <w:pPr>
              <w:spacing w:after="0"/>
              <w:rPr>
                <w:sz w:val="16"/>
                <w:szCs w:val="16"/>
                <w:color w:val="auto"/>
              </w:rPr>
            </w:pPr>
          </w:p>
        </w:tc>
        <w:tc>
          <w:tcPr>
            <w:tcW w:w="2440" w:type="dxa"/>
            <w:vAlign w:val="bottom"/>
            <w:gridSpan w:val="7"/>
            <w:shd w:val="clear" w:color="auto" w:fill="EEEEEE"/>
          </w:tcPr>
          <w:p>
            <w:pPr>
              <w:jc w:val="right"/>
              <w:ind w:right="880"/>
              <w:spacing w:after="0"/>
              <w:rPr>
                <w:sz w:val="20"/>
                <w:szCs w:val="20"/>
                <w:color w:val="auto"/>
              </w:rPr>
            </w:pPr>
            <w:r>
              <w:rPr>
                <w:rFonts w:ascii="Arial" w:cs="Arial" w:eastAsia="Arial" w:hAnsi="Arial"/>
                <w:sz w:val="16"/>
                <w:szCs w:val="16"/>
                <w:color w:val="auto"/>
              </w:rPr>
              <w:t>$(0.3)</w:t>
            </w:r>
          </w:p>
        </w:tc>
        <w:tc>
          <w:tcPr>
            <w:tcW w:w="40" w:type="dxa"/>
            <w:vAlign w:val="bottom"/>
            <w:shd w:val="clear" w:color="auto" w:fill="EEEEEE"/>
          </w:tcPr>
          <w:p>
            <w:pPr>
              <w:spacing w:after="0"/>
              <w:rPr>
                <w:sz w:val="16"/>
                <w:szCs w:val="16"/>
                <w:color w:val="auto"/>
              </w:rPr>
            </w:pPr>
          </w:p>
        </w:tc>
        <w:tc>
          <w:tcPr>
            <w:tcW w:w="13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$420.7</w:t>
            </w: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86"/>
              </w:rPr>
              <w:t>Balance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1"/>
              </w:rPr>
              <w:t>Balance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7"/>
          </w:tcPr>
          <w:p>
            <w:pPr>
              <w:jc w:val="center"/>
              <w:ind w:left="12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7"/>
          </w:tcPr>
          <w:p>
            <w:pPr>
              <w:ind w:left="260"/>
              <w:spacing w:after="0" w:line="132" w:lineRule="exact"/>
              <w:rPr>
                <w:sz w:val="20"/>
                <w:szCs w:val="20"/>
                <w:color w:val="auto"/>
              </w:rPr>
            </w:pPr>
            <w:r>
              <w:rPr>
                <w:rFonts w:ascii="Arial" w:cs="Arial" w:eastAsia="Arial" w:hAnsi="Arial"/>
                <w:sz w:val="12"/>
                <w:szCs w:val="12"/>
                <w:b w:val="1"/>
                <w:bCs w:val="1"/>
                <w:color w:val="auto"/>
              </w:rPr>
              <w:t>Goodwill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ind w:left="560"/>
              <w:spacing w:after="0" w:line="132" w:lineRule="exact"/>
              <w:rPr>
                <w:sz w:val="20"/>
                <w:szCs w:val="20"/>
                <w:color w:val="auto"/>
              </w:rPr>
            </w:pPr>
            <w:r>
              <w:rPr>
                <w:rFonts w:ascii="Arial" w:cs="Arial" w:eastAsia="Arial" w:hAnsi="Arial"/>
                <w:sz w:val="12"/>
                <w:szCs w:val="12"/>
                <w:b w:val="1"/>
                <w:bCs w:val="1"/>
                <w:color w:val="auto"/>
              </w:rPr>
              <w:t>Foreign Currency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5"/>
          </w:tcPr>
          <w:p>
            <w:pPr>
              <w:jc w:val="center"/>
              <w:ind w:right="40"/>
              <w:spacing w:after="0" w:line="132"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40" w:type="dxa"/>
            <w:vAlign w:val="bottom"/>
          </w:tcPr>
          <w:p>
            <w:pPr>
              <w:ind w:left="1660"/>
              <w:spacing w:after="0"/>
              <w:rPr>
                <w:sz w:val="20"/>
                <w:szCs w:val="20"/>
                <w:color w:val="auto"/>
              </w:rPr>
            </w:pPr>
            <w:r>
              <w:rPr>
                <w:rFonts w:ascii="Arial" w:cs="Arial" w:eastAsia="Arial" w:hAnsi="Arial"/>
                <w:sz w:val="12"/>
                <w:szCs w:val="12"/>
                <w:b w:val="1"/>
                <w:bCs w:val="1"/>
                <w:color w:val="auto"/>
              </w:rPr>
              <w:t>Segment</w:t>
            </w:r>
          </w:p>
        </w:tc>
        <w:tc>
          <w:tcPr>
            <w:tcW w:w="1460" w:type="dxa"/>
            <w:vAlign w:val="bottom"/>
            <w:gridSpan w:val="9"/>
          </w:tcPr>
          <w:p>
            <w:pPr>
              <w:jc w:val="center"/>
              <w:ind w:left="905"/>
              <w:spacing w:after="0"/>
              <w:rPr>
                <w:sz w:val="20"/>
                <w:szCs w:val="20"/>
                <w:color w:val="auto"/>
              </w:rPr>
            </w:pPr>
            <w:r>
              <w:rPr>
                <w:rFonts w:ascii="Arial" w:cs="Arial" w:eastAsia="Arial" w:hAnsi="Arial"/>
                <w:sz w:val="12"/>
                <w:szCs w:val="12"/>
                <w:b w:val="1"/>
                <w:bCs w:val="1"/>
                <w:color w:val="auto"/>
                <w:w w:val="89"/>
              </w:rPr>
              <w:t>2002</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7"/>
          </w:tcPr>
          <w:p>
            <w:pPr>
              <w:ind w:left="180"/>
              <w:spacing w:after="0"/>
              <w:rPr>
                <w:sz w:val="20"/>
                <w:szCs w:val="20"/>
                <w:color w:val="auto"/>
              </w:rPr>
            </w:pPr>
            <w:r>
              <w:rPr>
                <w:rFonts w:ascii="Arial" w:cs="Arial" w:eastAsia="Arial" w:hAnsi="Arial"/>
                <w:sz w:val="12"/>
                <w:szCs w:val="12"/>
                <w:b w:val="1"/>
                <w:bCs w:val="1"/>
                <w:color w:val="auto"/>
              </w:rPr>
              <w:t>Impairment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Translation &amp; Other</w:t>
            </w:r>
          </w:p>
        </w:tc>
        <w:tc>
          <w:tcPr>
            <w:tcW w:w="1300" w:type="dxa"/>
            <w:vAlign w:val="bottom"/>
            <w:gridSpan w:val="5"/>
          </w:tcPr>
          <w:p>
            <w:pPr>
              <w:jc w:val="center"/>
              <w:ind w:left="785"/>
              <w:spacing w:after="0"/>
              <w:rPr>
                <w:sz w:val="20"/>
                <w:szCs w:val="20"/>
                <w:color w:val="auto"/>
              </w:rPr>
            </w:pPr>
            <w:r>
              <w:rPr>
                <w:rFonts w:ascii="Arial" w:cs="Arial" w:eastAsia="Arial" w:hAnsi="Arial"/>
                <w:sz w:val="12"/>
                <w:szCs w:val="12"/>
                <w:b w:val="1"/>
                <w:bCs w:val="1"/>
                <w:color w:val="auto"/>
                <w:w w:val="89"/>
              </w:rPr>
              <w:t>2003</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6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00" w:type="dxa"/>
            <w:vAlign w:val="bottom"/>
            <w:gridSpan w:val="2"/>
          </w:tcPr>
          <w:p>
            <w:pPr>
              <w:spacing w:after="0"/>
              <w:rPr>
                <w:sz w:val="7"/>
                <w:szCs w:val="7"/>
                <w:color w:val="auto"/>
              </w:rPr>
            </w:pPr>
          </w:p>
        </w:tc>
        <w:tc>
          <w:tcPr>
            <w:tcW w:w="660" w:type="dxa"/>
            <w:vAlign w:val="bottom"/>
            <w:tcBorders>
              <w:bottom w:val="single" w:sz="8" w:color="808080"/>
            </w:tcBorders>
            <w:gridSpan w:val="3"/>
          </w:tcPr>
          <w:p>
            <w:pPr>
              <w:spacing w:after="0"/>
              <w:rPr>
                <w:sz w:val="7"/>
                <w:szCs w:val="7"/>
                <w:color w:val="auto"/>
              </w:rPr>
            </w:pPr>
          </w:p>
        </w:tc>
        <w:tc>
          <w:tcPr>
            <w:tcW w:w="360" w:type="dxa"/>
            <w:vAlign w:val="bottom"/>
            <w:tcBorders>
              <w:bottom w:val="single" w:sz="8" w:color="808080"/>
            </w:tcBorders>
            <w:gridSpan w:val="3"/>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20" w:type="dxa"/>
            <w:vAlign w:val="bottom"/>
            <w:gridSpan w:val="2"/>
          </w:tcPr>
          <w:p>
            <w:pPr>
              <w:spacing w:after="0"/>
              <w:rPr>
                <w:sz w:val="7"/>
                <w:szCs w:val="7"/>
                <w:color w:val="auto"/>
              </w:rPr>
            </w:pPr>
          </w:p>
        </w:tc>
        <w:tc>
          <w:tcPr>
            <w:tcW w:w="32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gridSpan w:val="2"/>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808080"/>
            </w:tcBorders>
            <w:gridSpan w:val="2"/>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bottom w:val="single" w:sz="8" w:color="808080"/>
            </w:tcBorders>
            <w:gridSpan w:val="2"/>
          </w:tcPr>
          <w:p>
            <w:pPr>
              <w:spacing w:after="0"/>
              <w:rPr>
                <w:sz w:val="7"/>
                <w:szCs w:val="7"/>
                <w:color w:val="auto"/>
              </w:rPr>
            </w:pPr>
          </w:p>
        </w:tc>
        <w:tc>
          <w:tcPr>
            <w:tcW w:w="3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6"/>
                <w:szCs w:val="16"/>
                <w:color w:val="auto"/>
              </w:rPr>
              <w:t>Residential</w:t>
            </w:r>
          </w:p>
        </w:tc>
        <w:tc>
          <w:tcPr>
            <w:tcW w:w="1460" w:type="dxa"/>
            <w:vAlign w:val="bottom"/>
            <w:gridSpan w:val="9"/>
            <w:shd w:val="clear" w:color="auto" w:fill="EEEEEE"/>
          </w:tcPr>
          <w:p>
            <w:pPr>
              <w:jc w:val="right"/>
              <w:spacing w:after="0"/>
              <w:rPr>
                <w:sz w:val="20"/>
                <w:szCs w:val="20"/>
                <w:color w:val="auto"/>
              </w:rPr>
            </w:pPr>
            <w:r>
              <w:rPr>
                <w:rFonts w:ascii="Arial" w:cs="Arial" w:eastAsia="Arial" w:hAnsi="Arial"/>
                <w:sz w:val="16"/>
                <w:szCs w:val="16"/>
                <w:color w:val="auto"/>
              </w:rPr>
              <w:t>$ 27.1</w:t>
            </w:r>
          </w:p>
        </w:tc>
        <w:tc>
          <w:tcPr>
            <w:tcW w:w="380" w:type="dxa"/>
            <w:vAlign w:val="bottom"/>
            <w:shd w:val="clear" w:color="auto" w:fill="EEEEEE"/>
          </w:tcPr>
          <w:p>
            <w:pPr>
              <w:spacing w:after="0"/>
              <w:rPr>
                <w:sz w:val="16"/>
                <w:szCs w:val="16"/>
                <w:color w:val="auto"/>
              </w:rPr>
            </w:pPr>
          </w:p>
        </w:tc>
        <w:tc>
          <w:tcPr>
            <w:tcW w:w="820" w:type="dxa"/>
            <w:vAlign w:val="bottom"/>
            <w:gridSpan w:val="6"/>
            <w:shd w:val="clear" w:color="auto" w:fill="EEEEEE"/>
          </w:tcPr>
          <w:p>
            <w:pPr>
              <w:ind w:left="720"/>
              <w:spacing w:after="0"/>
              <w:rPr>
                <w:sz w:val="20"/>
                <w:szCs w:val="20"/>
                <w:color w:val="auto"/>
              </w:rPr>
            </w:pPr>
            <w:r>
              <w:rPr>
                <w:rFonts w:ascii="Arial" w:cs="Arial" w:eastAsia="Arial" w:hAnsi="Arial"/>
                <w:sz w:val="16"/>
                <w:szCs w:val="16"/>
                <w:color w:val="auto"/>
                <w:w w:val="89"/>
              </w:rPr>
              <w:t>$</w:t>
            </w:r>
          </w:p>
        </w:tc>
        <w:tc>
          <w:tcPr>
            <w:tcW w:w="780" w:type="dxa"/>
            <w:vAlign w:val="bottom"/>
            <w:gridSpan w:val="4"/>
            <w:shd w:val="clear" w:color="auto" w:fill="EEEEEE"/>
          </w:tcPr>
          <w:p>
            <w:pPr>
              <w:ind w:left="160"/>
              <w:spacing w:after="0"/>
              <w:rPr>
                <w:sz w:val="20"/>
                <w:szCs w:val="20"/>
                <w:color w:val="auto"/>
              </w:rPr>
            </w:pPr>
            <w:r>
              <w:rPr>
                <w:rFonts w:ascii="Arial" w:cs="Arial" w:eastAsia="Arial" w:hAnsi="Arial"/>
                <w:sz w:val="16"/>
                <w:szCs w:val="16"/>
                <w:color w:val="auto"/>
              </w:rPr>
              <w:t>—</w:t>
            </w:r>
          </w:p>
        </w:tc>
        <w:tc>
          <w:tcPr>
            <w:tcW w:w="1520" w:type="dxa"/>
            <w:vAlign w:val="bottom"/>
            <w:gridSpan w:val="6"/>
            <w:shd w:val="clear" w:color="auto" w:fill="EEEEEE"/>
          </w:tcPr>
          <w:p>
            <w:pPr>
              <w:jc w:val="right"/>
              <w:spacing w:after="0"/>
              <w:rPr>
                <w:sz w:val="20"/>
                <w:szCs w:val="20"/>
                <w:color w:val="auto"/>
              </w:rPr>
            </w:pPr>
            <w:r>
              <w:rPr>
                <w:rFonts w:ascii="Arial" w:cs="Arial" w:eastAsia="Arial" w:hAnsi="Arial"/>
                <w:sz w:val="16"/>
                <w:szCs w:val="16"/>
                <w:color w:val="auto"/>
              </w:rPr>
              <w:t>$ (1.0)</w:t>
            </w: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$ 26.1</w:t>
            </w: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Commercial</w:t>
            </w:r>
          </w:p>
        </w:tc>
        <w:tc>
          <w:tcPr>
            <w:tcW w:w="1460" w:type="dxa"/>
            <w:vAlign w:val="bottom"/>
            <w:gridSpan w:val="9"/>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1460" w:type="dxa"/>
            <w:vAlign w:val="bottom"/>
            <w:gridSpan w:val="5"/>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29.1</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660" w:type="dxa"/>
            <w:vAlign w:val="bottom"/>
            <w:gridSpan w:val="3"/>
          </w:tcPr>
          <w:p>
            <w:pPr>
              <w:spacing w:after="0"/>
              <w:rPr>
                <w:sz w:val="7"/>
                <w:szCs w:val="7"/>
                <w:color w:val="auto"/>
              </w:rPr>
            </w:pPr>
          </w:p>
        </w:tc>
        <w:tc>
          <w:tcPr>
            <w:tcW w:w="360" w:type="dxa"/>
            <w:vAlign w:val="bottom"/>
            <w:tcBorders>
              <w:bottom w:val="single" w:sz="8" w:color="808080"/>
            </w:tcBorders>
            <w:gridSpan w:val="3"/>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4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gridSpan w:val="2"/>
          </w:tcPr>
          <w:p>
            <w:pPr>
              <w:spacing w:after="0"/>
              <w:rPr>
                <w:sz w:val="7"/>
                <w:szCs w:val="7"/>
                <w:color w:val="auto"/>
              </w:rPr>
            </w:pPr>
          </w:p>
        </w:tc>
        <w:tc>
          <w:tcPr>
            <w:tcW w:w="3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Heating &amp; Cooling</w:t>
            </w:r>
          </w:p>
        </w:tc>
        <w:tc>
          <w:tcPr>
            <w:tcW w:w="1460" w:type="dxa"/>
            <w:vAlign w:val="bottom"/>
            <w:gridSpan w:val="9"/>
            <w:shd w:val="clear" w:color="auto" w:fill="EEEEEE"/>
          </w:tcPr>
          <w:p>
            <w:pPr>
              <w:jc w:val="right"/>
              <w:spacing w:after="0"/>
              <w:rPr>
                <w:sz w:val="20"/>
                <w:szCs w:val="20"/>
                <w:color w:val="auto"/>
              </w:rPr>
            </w:pPr>
            <w:r>
              <w:rPr>
                <w:rFonts w:ascii="Arial" w:cs="Arial" w:eastAsia="Arial" w:hAnsi="Arial"/>
                <w:sz w:val="16"/>
                <w:szCs w:val="16"/>
                <w:color w:val="auto"/>
              </w:rPr>
              <w:t>53.0</w:t>
            </w:r>
          </w:p>
        </w:tc>
        <w:tc>
          <w:tcPr>
            <w:tcW w:w="3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4"/>
            <w:shd w:val="clear" w:color="auto" w:fill="EEEEEE"/>
          </w:tcPr>
          <w:p>
            <w:pPr>
              <w:ind w:left="16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55.2</w:t>
            </w: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Service Experts</w:t>
            </w:r>
          </w:p>
        </w:tc>
        <w:tc>
          <w:tcPr>
            <w:tcW w:w="1460" w:type="dxa"/>
            <w:vAlign w:val="bottom"/>
            <w:gridSpan w:val="9"/>
          </w:tcPr>
          <w:p>
            <w:pPr>
              <w:jc w:val="right"/>
              <w:spacing w:after="0"/>
              <w:rPr>
                <w:sz w:val="20"/>
                <w:szCs w:val="20"/>
                <w:color w:val="auto"/>
              </w:rPr>
            </w:pPr>
            <w:r>
              <w:rPr>
                <w:rFonts w:ascii="Arial" w:cs="Arial" w:eastAsia="Arial" w:hAnsi="Arial"/>
                <w:sz w:val="16"/>
                <w:szCs w:val="16"/>
                <w:color w:val="auto"/>
              </w:rPr>
              <w:t>307.4</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1460" w:type="dxa"/>
            <w:vAlign w:val="bottom"/>
            <w:gridSpan w:val="5"/>
          </w:tcPr>
          <w:p>
            <w:pPr>
              <w:jc w:val="right"/>
              <w:spacing w:after="0"/>
              <w:rPr>
                <w:sz w:val="20"/>
                <w:szCs w:val="20"/>
                <w:color w:val="auto"/>
              </w:rPr>
            </w:pPr>
            <w:r>
              <w:rPr>
                <w:rFonts w:ascii="Arial" w:cs="Arial" w:eastAsia="Arial" w:hAnsi="Arial"/>
                <w:sz w:val="16"/>
                <w:szCs w:val="16"/>
                <w:color w:val="auto"/>
              </w:rPr>
              <w:t>14.1</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321.5</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40" w:type="dxa"/>
            <w:vAlign w:val="bottom"/>
            <w:shd w:val="clear" w:color="auto" w:fill="EEEEEE"/>
          </w:tcPr>
          <w:p>
            <w:pPr>
              <w:spacing w:after="0"/>
              <w:rPr>
                <w:sz w:val="20"/>
                <w:szCs w:val="20"/>
                <w:color w:val="auto"/>
              </w:rPr>
            </w:pPr>
            <w:r>
              <w:rPr>
                <w:rFonts w:ascii="Arial" w:cs="Arial" w:eastAsia="Arial" w:hAnsi="Arial"/>
                <w:sz w:val="16"/>
                <w:szCs w:val="16"/>
                <w:color w:val="auto"/>
              </w:rPr>
              <w:t>Refrigeration</w:t>
            </w:r>
          </w:p>
        </w:tc>
        <w:tc>
          <w:tcPr>
            <w:tcW w:w="1460" w:type="dxa"/>
            <w:vAlign w:val="bottom"/>
            <w:gridSpan w:val="9"/>
            <w:shd w:val="clear" w:color="auto" w:fill="EEEEEE"/>
          </w:tcPr>
          <w:p>
            <w:pPr>
              <w:jc w:val="right"/>
              <w:spacing w:after="0"/>
              <w:rPr>
                <w:sz w:val="20"/>
                <w:szCs w:val="20"/>
                <w:color w:val="auto"/>
              </w:rPr>
            </w:pPr>
            <w:r>
              <w:rPr>
                <w:rFonts w:ascii="Arial" w:cs="Arial" w:eastAsia="Arial" w:hAnsi="Arial"/>
                <w:sz w:val="16"/>
                <w:szCs w:val="16"/>
                <w:color w:val="auto"/>
              </w:rPr>
              <w:t>60.3</w:t>
            </w:r>
          </w:p>
        </w:tc>
        <w:tc>
          <w:tcPr>
            <w:tcW w:w="38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780" w:type="dxa"/>
            <w:vAlign w:val="bottom"/>
            <w:gridSpan w:val="4"/>
            <w:shd w:val="clear" w:color="auto" w:fill="EEEEEE"/>
          </w:tcPr>
          <w:p>
            <w:pPr>
              <w:ind w:left="160"/>
              <w:spacing w:after="0"/>
              <w:rPr>
                <w:sz w:val="20"/>
                <w:szCs w:val="20"/>
                <w:color w:val="auto"/>
              </w:rPr>
            </w:pPr>
            <w:r>
              <w:rPr>
                <w:rFonts w:ascii="Arial" w:cs="Arial" w:eastAsia="Arial" w:hAnsi="Arial"/>
                <w:sz w:val="16"/>
                <w:szCs w:val="16"/>
                <w:color w:val="auto"/>
              </w:rPr>
              <w:t>—</w:t>
            </w:r>
          </w:p>
        </w:tc>
        <w:tc>
          <w:tcPr>
            <w:tcW w:w="146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10.3</w:t>
            </w:r>
          </w:p>
        </w:tc>
        <w:tc>
          <w:tcPr>
            <w:tcW w:w="6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6"/>
                <w:szCs w:val="16"/>
                <w:color w:val="auto"/>
              </w:rPr>
              <w:t>70.6</w:t>
            </w:r>
          </w:p>
        </w:tc>
        <w:tc>
          <w:tcPr>
            <w:tcW w:w="2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100" w:type="dxa"/>
            <w:vAlign w:val="bottom"/>
            <w:gridSpan w:val="6"/>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gridSpan w:val="5"/>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gridSpan w:val="3"/>
          </w:tcPr>
          <w:p>
            <w:pPr>
              <w:spacing w:after="0"/>
              <w:rPr>
                <w:sz w:val="8"/>
                <w:szCs w:val="8"/>
                <w:color w:val="auto"/>
              </w:rPr>
            </w:pPr>
          </w:p>
        </w:tc>
        <w:tc>
          <w:tcPr>
            <w:tcW w:w="1180" w:type="dxa"/>
            <w:vAlign w:val="bottom"/>
            <w:gridSpan w:val="3"/>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40" w:type="dxa"/>
            <w:vAlign w:val="bottom"/>
          </w:tcPr>
          <w:p>
            <w:pPr>
              <w:ind w:left="600"/>
              <w:spacing w:after="0"/>
              <w:rPr>
                <w:sz w:val="20"/>
                <w:szCs w:val="20"/>
                <w:color w:val="auto"/>
              </w:rPr>
            </w:pPr>
            <w:r>
              <w:rPr>
                <w:rFonts w:ascii="Arial" w:cs="Arial" w:eastAsia="Arial" w:hAnsi="Arial"/>
                <w:sz w:val="16"/>
                <w:szCs w:val="16"/>
                <w:color w:val="auto"/>
              </w:rPr>
              <w:t>Total</w:t>
            </w:r>
          </w:p>
        </w:tc>
        <w:tc>
          <w:tcPr>
            <w:tcW w:w="1460" w:type="dxa"/>
            <w:vAlign w:val="bottom"/>
            <w:gridSpan w:val="9"/>
          </w:tcPr>
          <w:p>
            <w:pPr>
              <w:jc w:val="right"/>
              <w:spacing w:after="0"/>
              <w:rPr>
                <w:sz w:val="20"/>
                <w:szCs w:val="20"/>
                <w:color w:val="auto"/>
              </w:rPr>
            </w:pPr>
            <w:r>
              <w:rPr>
                <w:rFonts w:ascii="Arial" w:cs="Arial" w:eastAsia="Arial" w:hAnsi="Arial"/>
                <w:sz w:val="16"/>
                <w:szCs w:val="16"/>
                <w:color w:val="auto"/>
              </w:rPr>
              <w:t>$420.7</w:t>
            </w:r>
          </w:p>
        </w:tc>
        <w:tc>
          <w:tcPr>
            <w:tcW w:w="380" w:type="dxa"/>
            <w:vAlign w:val="bottom"/>
          </w:tcPr>
          <w:p>
            <w:pPr>
              <w:spacing w:after="0"/>
              <w:rPr>
                <w:sz w:val="24"/>
                <w:szCs w:val="24"/>
                <w:color w:val="auto"/>
              </w:rPr>
            </w:pPr>
          </w:p>
        </w:tc>
        <w:tc>
          <w:tcPr>
            <w:tcW w:w="820" w:type="dxa"/>
            <w:vAlign w:val="bottom"/>
            <w:gridSpan w:val="6"/>
          </w:tcPr>
          <w:p>
            <w:pPr>
              <w:ind w:left="720"/>
              <w:spacing w:after="0"/>
              <w:rPr>
                <w:sz w:val="20"/>
                <w:szCs w:val="20"/>
                <w:color w:val="auto"/>
              </w:rPr>
            </w:pPr>
            <w:r>
              <w:rPr>
                <w:rFonts w:ascii="Arial" w:cs="Arial" w:eastAsia="Arial" w:hAnsi="Arial"/>
                <w:sz w:val="16"/>
                <w:szCs w:val="16"/>
                <w:color w:val="auto"/>
                <w:w w:val="89"/>
              </w:rPr>
              <w:t>$</w:t>
            </w:r>
          </w:p>
        </w:tc>
        <w:tc>
          <w:tcPr>
            <w:tcW w:w="78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1460" w:type="dxa"/>
            <w:vAlign w:val="bottom"/>
            <w:gridSpan w:val="5"/>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$447.3</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-1670685</wp:posOffset>
            </wp:positionV>
            <wp:extent cx="12700" cy="35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-1670685</wp:posOffset>
            </wp:positionV>
            <wp:extent cx="12700" cy="355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-1670685</wp:posOffset>
            </wp:positionV>
            <wp:extent cx="12700" cy="355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-1670685</wp:posOffset>
            </wp:positionV>
            <wp:extent cx="12700" cy="35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-1670685</wp:posOffset>
            </wp:positionV>
            <wp:extent cx="12700" cy="3556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-1670685</wp:posOffset>
            </wp:positionV>
            <wp:extent cx="12700" cy="35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6911975</wp:posOffset>
            </wp:positionH>
            <wp:positionV relativeFrom="paragraph">
              <wp:posOffset>-1670685</wp:posOffset>
            </wp:positionV>
            <wp:extent cx="12700" cy="3556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-1670685</wp:posOffset>
            </wp:positionV>
            <wp:extent cx="12700" cy="3556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-34925</wp:posOffset>
            </wp:positionV>
            <wp:extent cx="12700" cy="355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3026410</wp:posOffset>
            </wp:positionH>
            <wp:positionV relativeFrom="paragraph">
              <wp:posOffset>-34925</wp:posOffset>
            </wp:positionV>
            <wp:extent cx="12700" cy="35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-34925</wp:posOffset>
            </wp:positionV>
            <wp:extent cx="12700" cy="355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-34925</wp:posOffset>
            </wp:positionV>
            <wp:extent cx="12700" cy="355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5427345</wp:posOffset>
            </wp:positionH>
            <wp:positionV relativeFrom="paragraph">
              <wp:posOffset>-34925</wp:posOffset>
            </wp:positionV>
            <wp:extent cx="12700" cy="35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-34925</wp:posOffset>
            </wp:positionV>
            <wp:extent cx="12700" cy="355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-34925</wp:posOffset>
            </wp:positionV>
            <wp:extent cx="12700" cy="3556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6684645</wp:posOffset>
            </wp:positionH>
            <wp:positionV relativeFrom="paragraph">
              <wp:posOffset>-34925</wp:posOffset>
            </wp:positionV>
            <wp:extent cx="12700" cy="3556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The change in the Residential Heating &amp; Cooling segment includes $(0.8) million allocated to the divestiture of the HVAC distributor discussed in Note 7.</w:t>
      </w:r>
    </w:p>
    <w:p>
      <w:pPr>
        <w:spacing w:after="0" w:line="222" w:lineRule="exact"/>
        <w:rPr>
          <w:sz w:val="20"/>
          <w:szCs w:val="20"/>
          <w:color w:val="auto"/>
        </w:rPr>
      </w:pPr>
    </w:p>
    <w:p>
      <w:pPr>
        <w:ind w:left="5" w:right="120" w:firstLine="286"/>
        <w:spacing w:after="0" w:line="264" w:lineRule="auto"/>
        <w:rPr>
          <w:sz w:val="20"/>
          <w:szCs w:val="20"/>
          <w:color w:val="auto"/>
        </w:rPr>
      </w:pPr>
      <w:r>
        <w:rPr>
          <w:rFonts w:ascii="Arial" w:cs="Arial" w:eastAsia="Arial" w:hAnsi="Arial"/>
          <w:sz w:val="16"/>
          <w:szCs w:val="16"/>
          <w:color w:val="auto"/>
        </w:rPr>
        <w:t>Identifiable intangible assets, subject to amortization, as of December 31, 2003 are recorded in Other Assets in the accompanying Consolidated Balance Sheets and are comprised of the following (in millions):</w:t>
      </w:r>
    </w:p>
    <w:p>
      <w:pPr>
        <w:spacing w:after="0" w:line="355" w:lineRule="exact"/>
        <w:rPr>
          <w:sz w:val="20"/>
          <w:szCs w:val="20"/>
          <w:color w:val="auto"/>
        </w:rPr>
      </w:pPr>
    </w:p>
    <w:tbl>
      <w:tblPr>
        <w:tblLayout w:type="fixed"/>
        <w:tblInd w:w="565"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4"/>
          </w:tcPr>
          <w:p>
            <w:pPr>
              <w:jc w:val="right"/>
              <w:ind w:right="840"/>
              <w:spacing w:after="0"/>
              <w:rPr>
                <w:sz w:val="20"/>
                <w:szCs w:val="20"/>
                <w:color w:val="auto"/>
              </w:rPr>
            </w:pPr>
            <w:r>
              <w:rPr>
                <w:rFonts w:ascii="Arial" w:cs="Arial" w:eastAsia="Arial" w:hAnsi="Arial"/>
                <w:sz w:val="12"/>
                <w:szCs w:val="12"/>
                <w:b w:val="1"/>
                <w:bCs w:val="1"/>
                <w:color w:val="auto"/>
                <w:w w:val="96"/>
              </w:rPr>
              <w:t>Restated 2002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60" w:type="dxa"/>
            <w:vAlign w:val="bottom"/>
            <w:gridSpan w:val="7"/>
          </w:tcPr>
          <w:p>
            <w:pPr>
              <w:jc w:val="center"/>
              <w:ind w:right="580"/>
              <w:spacing w:after="0"/>
              <w:rPr>
                <w:sz w:val="20"/>
                <w:szCs w:val="20"/>
                <w:color w:val="auto"/>
              </w:rPr>
            </w:pPr>
            <w:r>
              <w:rPr>
                <w:rFonts w:ascii="Arial" w:cs="Arial" w:eastAsia="Arial" w:hAnsi="Arial"/>
                <w:sz w:val="12"/>
                <w:szCs w:val="12"/>
                <w:b w:val="1"/>
                <w:bCs w:val="1"/>
                <w:color w:val="auto"/>
                <w:w w:val="86"/>
              </w:rPr>
              <w:t>Gross</w:t>
            </w:r>
          </w:p>
        </w:tc>
        <w:tc>
          <w:tcPr>
            <w:tcW w:w="104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w w:val="90"/>
              </w:rPr>
              <w:t>Accumulated</w:t>
            </w:r>
          </w:p>
        </w:tc>
        <w:tc>
          <w:tcPr>
            <w:tcW w:w="30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0"/>
              </w:rPr>
              <w:t>Gross</w:t>
            </w:r>
          </w:p>
        </w:tc>
        <w:tc>
          <w:tcPr>
            <w:tcW w:w="30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Accumulated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360" w:type="dxa"/>
            <w:vAlign w:val="bottom"/>
            <w:gridSpan w:val="7"/>
          </w:tcPr>
          <w:p>
            <w:pPr>
              <w:jc w:val="center"/>
              <w:ind w:right="580"/>
              <w:spacing w:after="0"/>
              <w:rPr>
                <w:sz w:val="20"/>
                <w:szCs w:val="20"/>
                <w:color w:val="auto"/>
              </w:rPr>
            </w:pPr>
            <w:r>
              <w:rPr>
                <w:rFonts w:ascii="Arial" w:cs="Arial" w:eastAsia="Arial" w:hAnsi="Arial"/>
                <w:sz w:val="12"/>
                <w:szCs w:val="12"/>
                <w:b w:val="1"/>
                <w:bCs w:val="1"/>
                <w:color w:val="auto"/>
                <w:w w:val="92"/>
              </w:rPr>
              <w:t>Amount</w:t>
            </w:r>
          </w:p>
        </w:tc>
        <w:tc>
          <w:tcPr>
            <w:tcW w:w="104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w w:val="95"/>
              </w:rPr>
              <w:t>Amortization</w:t>
            </w:r>
          </w:p>
        </w:tc>
        <w:tc>
          <w:tcPr>
            <w:tcW w:w="30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Amount</w:t>
            </w:r>
          </w:p>
        </w:tc>
        <w:tc>
          <w:tcPr>
            <w:tcW w:w="300" w:type="dxa"/>
            <w:vAlign w:val="bottom"/>
          </w:tcPr>
          <w:p>
            <w:pPr>
              <w:spacing w:after="0"/>
              <w:rPr>
                <w:sz w:val="13"/>
                <w:szCs w:val="13"/>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6"/>
                <w:szCs w:val="16"/>
                <w:color w:val="auto"/>
              </w:rPr>
              <w:t>Deferred financing costs</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rPr>
              <w:t>8.6</w:t>
            </w:r>
          </w:p>
        </w:tc>
        <w:tc>
          <w:tcPr>
            <w:tcW w:w="2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4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$(1.9)</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$10.9</w:t>
            </w:r>
          </w:p>
        </w:tc>
        <w:tc>
          <w:tcPr>
            <w:tcW w:w="200" w:type="dxa"/>
            <w:vAlign w:val="bottom"/>
            <w:shd w:val="clear" w:color="auto" w:fill="EEEEEE"/>
          </w:tcPr>
          <w:p>
            <w:pPr>
              <w:spacing w:after="0"/>
              <w:rPr>
                <w:sz w:val="16"/>
                <w:szCs w:val="16"/>
                <w:color w:val="auto"/>
              </w:rPr>
            </w:pPr>
          </w:p>
        </w:tc>
        <w:tc>
          <w:tcPr>
            <w:tcW w:w="164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Non-compete agreements and other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6"/>
                <w:szCs w:val="16"/>
                <w:color w:val="auto"/>
              </w:rPr>
              <w:t>(6.3)</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7"/>
                <w:szCs w:val="17"/>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shd w:val="clear" w:color="auto" w:fill="EEEEEE"/>
          </w:tcPr>
          <w:p>
            <w:pPr>
              <w:ind w:left="260"/>
              <w:spacing w:after="0"/>
              <w:rPr>
                <w:sz w:val="20"/>
                <w:szCs w:val="20"/>
                <w:color w:val="auto"/>
              </w:rPr>
            </w:pPr>
            <w:r>
              <w:rPr>
                <w:rFonts w:ascii="Arial" w:cs="Arial" w:eastAsia="Arial" w:hAnsi="Arial"/>
                <w:sz w:val="16"/>
                <w:szCs w:val="16"/>
                <w:color w:val="auto"/>
              </w:rPr>
              <w:t>Total</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6"/>
                <w:szCs w:val="16"/>
                <w:color w:val="auto"/>
                <w:w w:val="76"/>
              </w:rPr>
              <w:t>17.9</w:t>
            </w:r>
          </w:p>
        </w:tc>
        <w:tc>
          <w:tcPr>
            <w:tcW w:w="2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04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$(8.2)</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EEEEEE"/>
          </w:tcPr>
          <w:p>
            <w:pPr>
              <w:spacing w:after="0"/>
              <w:rPr>
                <w:sz w:val="16"/>
                <w:szCs w:val="16"/>
                <w:color w:val="auto"/>
              </w:rPr>
            </w:pPr>
          </w:p>
        </w:tc>
        <w:tc>
          <w:tcPr>
            <w:tcW w:w="164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-34925</wp:posOffset>
            </wp:positionV>
            <wp:extent cx="12700" cy="355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-34925</wp:posOffset>
            </wp:positionV>
            <wp:extent cx="12700" cy="355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-34925</wp:posOffset>
            </wp:positionV>
            <wp:extent cx="12700" cy="35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-34925</wp:posOffset>
            </wp:positionV>
            <wp:extent cx="12700" cy="3556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-34925</wp:posOffset>
            </wp:positionV>
            <wp:extent cx="12700" cy="355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-34925</wp:posOffset>
            </wp:positionV>
            <wp:extent cx="12700" cy="355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-34925</wp:posOffset>
            </wp:positionV>
            <wp:extent cx="12700" cy="355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-34925</wp:posOffset>
            </wp:positionV>
            <wp:extent cx="12700" cy="355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279" w:lineRule="exact"/>
        <w:rPr>
          <w:sz w:val="20"/>
          <w:szCs w:val="20"/>
          <w:color w:val="auto"/>
        </w:rPr>
      </w:pPr>
    </w:p>
    <w:p>
      <w:pPr>
        <w:ind w:left="5" w:right="320" w:firstLine="286"/>
        <w:spacing w:after="0" w:line="256" w:lineRule="auto"/>
        <w:rPr>
          <w:sz w:val="20"/>
          <w:szCs w:val="20"/>
          <w:color w:val="auto"/>
        </w:rPr>
      </w:pPr>
      <w:r>
        <w:rPr>
          <w:rFonts w:ascii="Arial" w:cs="Arial" w:eastAsia="Arial" w:hAnsi="Arial"/>
          <w:sz w:val="16"/>
          <w:szCs w:val="16"/>
          <w:color w:val="auto"/>
        </w:rPr>
        <w:t>Amortization of intangible assets for the years ended December 31, 2003 and December 31, 2002 was approximately $4.6 million and $5.4 million, respectively. Amortization expense for 2004 to 2008 is estimated to be approximately $3.1 million in 2004, $1.9 million in 2005, $1.6 million in 2006, $1.0 million in 2007 and $0.9 million in 2008. As of December 31, 2003, the Company had $16.0 million of intangible assets, consisting</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78" w:name="page79"/>
    <w:bookmarkEnd w:id="78"/>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ind w:left="316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6"/>
          <w:szCs w:val="16"/>
          <w:color w:val="auto"/>
        </w:rPr>
        <w:t>of $11.6 million of pension intangible assets and $4.4 million of trademarks and others, which are not subject to amortization.</w:t>
      </w:r>
    </w:p>
    <w:p>
      <w:pPr>
        <w:spacing w:after="0" w:line="192" w:lineRule="exact"/>
        <w:rPr>
          <w:sz w:val="20"/>
          <w:szCs w:val="20"/>
          <w:color w:val="auto"/>
        </w:rPr>
      </w:pPr>
    </w:p>
    <w:p>
      <w:pPr>
        <w:ind w:left="385" w:hanging="385"/>
        <w:spacing w:after="0"/>
        <w:tabs>
          <w:tab w:leader="none" w:pos="385"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28" w:lineRule="exact"/>
        <w:rPr>
          <w:sz w:val="20"/>
          <w:szCs w:val="20"/>
          <w:color w:val="auto"/>
        </w:rPr>
      </w:pPr>
    </w:p>
    <w:p>
      <w:pPr>
        <w:ind w:left="5" w:right="20" w:firstLine="286"/>
        <w:spacing w:after="0" w:line="291" w:lineRule="auto"/>
        <w:rPr>
          <w:sz w:val="20"/>
          <w:szCs w:val="20"/>
          <w:color w:val="auto"/>
        </w:rPr>
      </w:pPr>
      <w:r>
        <w:rPr>
          <w:rFonts w:ascii="Arial" w:cs="Arial" w:eastAsia="Arial" w:hAnsi="Arial"/>
          <w:sz w:val="14"/>
          <w:szCs w:val="14"/>
          <w:color w:val="auto"/>
        </w:rPr>
        <w:t>John W. Norris, Jr., LII’s Chairman of the Board, Thomas W. Booth, Stephen R. Booth, David V. Brown and John W. Norris III, each a director of Lennox, as well as other LII stockholders who may be immediate family members of the foregoing persons are, individually or through trust arrangements, members of AOC Land Investment, L.L.C. AOC Land Investment L.L.C. owns 70% of AOC Development II, L.L.C., which owns essentially all of One Lake Park, L.L.C. LII is leasing part of an office building owned by One Lake Park, L.L.C. for use as the LII corporate headquarters. The lease, initiated in 1999, has a term of 25 years and the lease payments for 2003, 2002 and 2001 were approximately $2.9 million, $2.9 million and $2.7 million, respectively. LII also leased a portion of Lennox Center, a retail complex owned by AOC Development, L.L.C., for use as offices. The lease, initiated in 2000, terminated in March 2003 and the lease payments for 2003, 2002 and 2001 were $20,430, $122,580 and $122,580, respectively. AOC Land Investment, L.L.C. also owns 70% of AOC Development, L.L.C. LII believes that the terms of its leases with One Lake Park, L.L.C. and AOC Development, L.L.C. are comparable to terms that could be obtained from unaffiliated third parties.</w:t>
      </w:r>
    </w:p>
    <w:p>
      <w:pPr>
        <w:spacing w:after="0" w:line="150" w:lineRule="exact"/>
        <w:rPr>
          <w:sz w:val="20"/>
          <w:szCs w:val="20"/>
          <w:color w:val="auto"/>
        </w:rPr>
      </w:pPr>
    </w:p>
    <w:p>
      <w:pPr>
        <w:ind w:left="385" w:hanging="385"/>
        <w:spacing w:after="0"/>
        <w:tabs>
          <w:tab w:leader="none" w:pos="385"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Stock Rights:</w:t>
      </w:r>
    </w:p>
    <w:p>
      <w:pPr>
        <w:spacing w:after="0" w:line="228" w:lineRule="exact"/>
        <w:rPr>
          <w:sz w:val="20"/>
          <w:szCs w:val="20"/>
          <w:color w:val="auto"/>
        </w:rPr>
      </w:pPr>
    </w:p>
    <w:p>
      <w:pPr>
        <w:ind w:left="5" w:right="160" w:firstLine="286"/>
        <w:spacing w:after="0" w:line="310" w:lineRule="auto"/>
        <w:rPr>
          <w:sz w:val="20"/>
          <w:szCs w:val="20"/>
          <w:color w:val="auto"/>
        </w:rPr>
      </w:pPr>
      <w:r>
        <w:rPr>
          <w:rFonts w:ascii="Arial" w:cs="Arial" w:eastAsia="Arial" w:hAnsi="Arial"/>
          <w:sz w:val="14"/>
          <w:szCs w:val="14"/>
          <w:color w:val="auto"/>
        </w:rPr>
        <w:t>On July 27, 2000, the Board of Directors of the Company declared a dividend of one right (“Right”) for each outstanding share of its Common Stock to stockholders of record at the close of business on August 7, 2000. Each Right entitles the registered holder to purchase from the Company a unit consisting of one one-hundredth of a share (a “Fractional Share”) of Series A Junior Participating Preferred Stock, par value $.01 per share, at a purchase price of $75.00 per Fractional Share, subject to adjustment.</w:t>
      </w:r>
    </w:p>
    <w:p>
      <w:pPr>
        <w:spacing w:after="0" w:line="133" w:lineRule="exact"/>
        <w:rPr>
          <w:sz w:val="20"/>
          <w:szCs w:val="20"/>
          <w:color w:val="auto"/>
        </w:rPr>
      </w:pPr>
    </w:p>
    <w:p>
      <w:pPr>
        <w:ind w:left="385" w:hanging="385"/>
        <w:spacing w:after="0"/>
        <w:tabs>
          <w:tab w:leader="none" w:pos="38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of Financial Instruments:</w:t>
      </w:r>
    </w:p>
    <w:p>
      <w:pPr>
        <w:spacing w:after="0" w:line="228" w:lineRule="exact"/>
        <w:rPr>
          <w:sz w:val="20"/>
          <w:szCs w:val="20"/>
          <w:color w:val="auto"/>
        </w:rPr>
      </w:pPr>
    </w:p>
    <w:p>
      <w:pPr>
        <w:ind w:left="5" w:firstLine="286"/>
        <w:spacing w:after="0" w:line="256" w:lineRule="auto"/>
        <w:rPr>
          <w:sz w:val="20"/>
          <w:szCs w:val="20"/>
          <w:color w:val="auto"/>
        </w:rPr>
      </w:pPr>
      <w:r>
        <w:rPr>
          <w:rFonts w:ascii="Arial" w:cs="Arial" w:eastAsia="Arial" w:hAnsi="Arial"/>
          <w:sz w:val="16"/>
          <w:szCs w:val="16"/>
          <w:color w:val="auto"/>
        </w:rPr>
        <w:t>The carrying amounts of cash and cash equivalents, accounts and notes receivable, net, accounts payable and other current liabilities approximate fair value due to the short maturities of these instruments. The carrying amount of long-term debt approximates fair value due to interest rates that approximate current market rates for instruments of similar size and duration.</w:t>
      </w:r>
    </w:p>
    <w:p>
      <w:pPr>
        <w:spacing w:after="0" w:line="169" w:lineRule="exact"/>
        <w:rPr>
          <w:sz w:val="20"/>
          <w:szCs w:val="20"/>
          <w:color w:val="auto"/>
        </w:rPr>
      </w:pPr>
    </w:p>
    <w:p>
      <w:pPr>
        <w:ind w:left="385" w:hanging="385"/>
        <w:spacing w:after="0"/>
        <w:tabs>
          <w:tab w:leader="none" w:pos="38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00" w:lineRule="exact"/>
        <w:rPr>
          <w:sz w:val="20"/>
          <w:szCs w:val="20"/>
          <w:color w:val="auto"/>
        </w:rPr>
      </w:pPr>
    </w:p>
    <w:p>
      <w:pPr>
        <w:spacing w:after="0" w:line="218"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Service Experts Turnaround Plan</w:t>
      </w:r>
    </w:p>
    <w:p>
      <w:pPr>
        <w:spacing w:after="0" w:line="222" w:lineRule="exact"/>
        <w:rPr>
          <w:sz w:val="20"/>
          <w:szCs w:val="20"/>
          <w:color w:val="auto"/>
        </w:rPr>
      </w:pPr>
    </w:p>
    <w:p>
      <w:pPr>
        <w:ind w:left="5" w:right="60" w:firstLine="286"/>
        <w:spacing w:after="0" w:line="264" w:lineRule="auto"/>
        <w:rPr>
          <w:sz w:val="20"/>
          <w:szCs w:val="20"/>
          <w:color w:val="auto"/>
        </w:rPr>
      </w:pPr>
      <w:r>
        <w:rPr>
          <w:rFonts w:ascii="Arial" w:cs="Arial" w:eastAsia="Arial" w:hAnsi="Arial"/>
          <w:sz w:val="16"/>
          <w:szCs w:val="16"/>
          <w:color w:val="auto"/>
        </w:rPr>
        <w:t>In April 2004, the Company announced the specifics of a turnaround plan designed to improve the performance of its Service Experts business segment. The plan realigns Service Experts’ dealer service centers to focus on service and replacement opportunities in the residential and light commercial markets.</w:t>
      </w:r>
    </w:p>
    <w:p>
      <w:pPr>
        <w:spacing w:after="0" w:line="192" w:lineRule="exact"/>
        <w:rPr>
          <w:sz w:val="20"/>
          <w:szCs w:val="20"/>
          <w:color w:val="auto"/>
        </w:rPr>
      </w:pPr>
    </w:p>
    <w:p>
      <w:pPr>
        <w:jc w:val="both"/>
        <w:ind w:left="5" w:right="300" w:firstLine="286"/>
        <w:spacing w:after="0" w:line="310" w:lineRule="auto"/>
        <w:rPr>
          <w:sz w:val="20"/>
          <w:szCs w:val="20"/>
          <w:color w:val="auto"/>
        </w:rPr>
      </w:pPr>
      <w:r>
        <w:rPr>
          <w:rFonts w:ascii="Arial" w:cs="Arial" w:eastAsia="Arial" w:hAnsi="Arial"/>
          <w:sz w:val="14"/>
          <w:szCs w:val="14"/>
          <w:color w:val="auto"/>
        </w:rPr>
        <w:t>The Company identified 130 dealer service centers, whose primary business is residential and light commercial service and replacement, which comprise the ongoing Service Experts business segment. LII intends to divest the remaining 47 centers, in addition to the previously announced closure of four centers. The 47 centers that are no longer a part of Service Experts are organized under a new entity and will be classified as a discontinued business and managed separately.</w:t>
      </w:r>
    </w:p>
    <w:p>
      <w:pPr>
        <w:spacing w:after="0" w:line="163" w:lineRule="exact"/>
        <w:rPr>
          <w:sz w:val="20"/>
          <w:szCs w:val="20"/>
          <w:color w:val="auto"/>
        </w:rPr>
      </w:pPr>
    </w:p>
    <w:p>
      <w:pPr>
        <w:ind w:left="285"/>
        <w:spacing w:after="0"/>
        <w:rPr>
          <w:sz w:val="20"/>
          <w:szCs w:val="20"/>
          <w:color w:val="auto"/>
        </w:rPr>
      </w:pPr>
      <w:r>
        <w:rPr>
          <w:rFonts w:ascii="Arial" w:cs="Arial" w:eastAsia="Arial" w:hAnsi="Arial"/>
          <w:sz w:val="14"/>
          <w:szCs w:val="14"/>
          <w:color w:val="auto"/>
        </w:rPr>
        <w:t>As of September 30, 2004, 28 of the 47 centers identified for divestiture have been sold and the Company anticipates the remaining centers will be divested by the end of 2004.</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6"/>
          <w:szCs w:val="16"/>
          <w:color w:val="auto"/>
        </w:rPr>
        <w:t>Cash proceeds from the sale of these centers and related tax effects are expected to more than offset the cash expenses of divestiture.</w:t>
      </w:r>
    </w:p>
    <w:p>
      <w:pPr>
        <w:spacing w:after="0" w:line="19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5"/>
          </w:cols>
          <w:pgMar w:left="235" w:top="38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Service Experts Goodwill Impairment</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Pursuant to Statement of Financial Accounting Standards No. 142, “Goodwill and Other Intangible Assets,” LII is required, at least annually, to review the carrying value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goodwill on its books, which at December 31, 2003 amounted to $447.3 million. LII completed this review in the first quarter of 2004 and took a goodwill impairment charge of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$221.6 million ($196.9 million, net of tax) associated with its Service Experts unit. Fair value of the reporting unit was determined consistent with the method described in Note 2. This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impairment will be recorded in operating expenses on the consolidated statement of operations in 2004.</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Pre-payment of Long-term Debt</w:t>
      </w:r>
    </w:p>
    <w:p>
      <w:pPr>
        <w:spacing w:after="0" w:line="222" w:lineRule="exact"/>
        <w:rPr>
          <w:sz w:val="20"/>
          <w:szCs w:val="20"/>
          <w:color w:val="auto"/>
        </w:rPr>
      </w:pPr>
    </w:p>
    <w:p>
      <w:pPr>
        <w:ind w:right="160" w:firstLine="286"/>
        <w:spacing w:after="0" w:line="264" w:lineRule="auto"/>
        <w:rPr>
          <w:sz w:val="20"/>
          <w:szCs w:val="20"/>
          <w:color w:val="auto"/>
        </w:rPr>
      </w:pPr>
      <w:r>
        <w:rPr>
          <w:rFonts w:ascii="Arial" w:cs="Arial" w:eastAsia="Arial" w:hAnsi="Arial"/>
          <w:sz w:val="16"/>
          <w:szCs w:val="16"/>
          <w:color w:val="auto"/>
        </w:rPr>
        <w:t>In June 2004, LII made a pre-payment on its long-term debt of $35 million. The long-term debt was scheduled to have been repaid in the third quarter of 2005. The pre-payment make-whole amount associated with the debt was $1.9 million.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3"/>
          <w:szCs w:val="13"/>
          <w:b w:val="1"/>
          <w:bCs w:val="1"/>
          <w:i w:val="1"/>
          <w:iCs w:val="1"/>
          <w:color w:val="auto"/>
        </w:rPr>
        <w:t>Changes in and Disagreements with Accountants on Accounting and Financial Disclosure</w:t>
      </w:r>
    </w:p>
    <w:p>
      <w:pPr>
        <w:spacing w:after="0" w:line="228" w:lineRule="exact"/>
        <w:rPr>
          <w:sz w:val="20"/>
          <w:szCs w:val="20"/>
          <w:color w:val="auto"/>
        </w:rPr>
      </w:pPr>
    </w:p>
    <w:p>
      <w:pPr>
        <w:ind w:right="100" w:firstLine="286"/>
        <w:spacing w:after="0" w:line="256" w:lineRule="auto"/>
        <w:rPr>
          <w:sz w:val="20"/>
          <w:szCs w:val="20"/>
          <w:color w:val="auto"/>
        </w:rPr>
      </w:pPr>
      <w:r>
        <w:rPr>
          <w:rFonts w:ascii="Arial" w:cs="Arial" w:eastAsia="Arial" w:hAnsi="Arial"/>
          <w:sz w:val="16"/>
          <w:szCs w:val="16"/>
          <w:color w:val="auto"/>
        </w:rPr>
        <w:t>As discussed in the Company’s Current Report on Form 8-K dated May 20, 2002, effective May 20, 2002, the Board of Directors of the Company (as recommended by the Company’s Audit Committee) approved the dismissal of Arthur Andersen LLP as the Company’s independent auditors and the appointment of KPMG LLP to serve as the Company’s independent auditors for the years ending December 31, 2003 and 2002.</w:t>
      </w:r>
    </w:p>
    <w:p>
      <w:pPr>
        <w:spacing w:after="0" w:line="38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3"/>
          <w:szCs w:val="13"/>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8" w:lineRule="exact"/>
        <w:rPr>
          <w:sz w:val="20"/>
          <w:szCs w:val="20"/>
          <w:color w:val="auto"/>
        </w:rPr>
      </w:pPr>
    </w:p>
    <w:p>
      <w:pPr>
        <w:ind w:right="20" w:firstLine="286"/>
        <w:spacing w:after="0" w:line="294" w:lineRule="auto"/>
        <w:rPr>
          <w:sz w:val="20"/>
          <w:szCs w:val="20"/>
          <w:color w:val="auto"/>
        </w:rPr>
      </w:pPr>
      <w:r>
        <w:rPr>
          <w:rFonts w:ascii="Arial" w:cs="Arial" w:eastAsia="Arial" w:hAnsi="Arial"/>
          <w:sz w:val="14"/>
          <w:szCs w:val="14"/>
          <w:color w:val="auto"/>
        </w:rPr>
        <w:t>In March 2004 the Audit Committee of the Company’s Board of Directors, with the assistance of its own independent legal counsel and forensic accountants, initiated an independent inquiry of certain accounting matters related to the Company’s Canadian service centers in its Service Experts operations after the Company received allegations of accounting and other improprieties at one of its Canadian service centers. Although these allegations were made prior to the Company’s public announcement of its results of operations for 2003, the Company’s internal control system failed to ensure that these allegations were communicated in a timely manner to the Company’s senior management and the Audit Committee so that such allegations could be investigated prior to the public release of 2003 results. The independent inquiry was completed in July 2004. The independent inquiry identified certain weaknesses in the internal controls with respect to the Canadian service centers, including the following:</w:t>
      </w:r>
    </w:p>
    <w:p>
      <w:pPr>
        <w:spacing w:after="0" w:line="152" w:lineRule="exact"/>
        <w:rPr>
          <w:sz w:val="20"/>
          <w:szCs w:val="20"/>
          <w:color w:val="auto"/>
        </w:rPr>
      </w:pPr>
    </w:p>
    <w:p>
      <w:pPr>
        <w:ind w:left="460" w:hanging="11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Canadian operations were autonomous from the other Service Experts operations;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Canadian accounting personnel reported directly to operational personnel;</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Canadian operations lacked adequate accounting resources;</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were not consistent accounting systems across all Canadian service centers; and</w:t>
      </w:r>
    </w:p>
    <w:p>
      <w:pPr>
        <w:spacing w:after="0" w:line="245" w:lineRule="exact"/>
        <w:rPr>
          <w:rFonts w:ascii="Arial" w:cs="Arial" w:eastAsia="Arial" w:hAnsi="Arial"/>
          <w:sz w:val="16"/>
          <w:szCs w:val="16"/>
          <w:color w:val="auto"/>
        </w:rPr>
      </w:pPr>
    </w:p>
    <w:p>
      <w:pPr>
        <w:ind w:left="460" w:hanging="119"/>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Canadian management failed to provide adequate oversight to the Canadian financial and accounting functions.</w:t>
      </w:r>
    </w:p>
    <w:p>
      <w:pPr>
        <w:spacing w:after="0" w:line="245" w:lineRule="exact"/>
        <w:rPr>
          <w:sz w:val="20"/>
          <w:szCs w:val="20"/>
          <w:color w:val="auto"/>
        </w:rPr>
      </w:pPr>
    </w:p>
    <w:p>
      <w:pPr>
        <w:jc w:val="both"/>
        <w:ind w:right="80" w:firstLine="286"/>
        <w:spacing w:after="0" w:line="254" w:lineRule="auto"/>
        <w:rPr>
          <w:sz w:val="20"/>
          <w:szCs w:val="20"/>
          <w:color w:val="auto"/>
        </w:rPr>
      </w:pPr>
      <w:r>
        <w:rPr>
          <w:rFonts w:ascii="Arial" w:cs="Arial" w:eastAsia="Arial" w:hAnsi="Arial"/>
          <w:sz w:val="16"/>
          <w:szCs w:val="16"/>
          <w:color w:val="auto"/>
        </w:rPr>
        <w:t>While the Audit Committee’s independent inquiry identified certain accounting adjustments as a result of its examination of Service Experts’ U.S. operations, which are reflected in the adjustments discussed below, it did not find deficiencies of the nature or type of those found in Canada. The Company’s independent auditors, KPMG LLP, have reviewed these matters and advised the Audit Committee that these control weaknesses constitute material weaknesses as defined in Statement of Auditing Standards No. 60. Certain of these control weaknesses may also constitute deficiencies in our disclosure controls.</w:t>
      </w:r>
    </w:p>
    <w:p>
      <w:pPr>
        <w:spacing w:after="0" w:line="199" w:lineRule="exact"/>
        <w:rPr>
          <w:sz w:val="20"/>
          <w:szCs w:val="20"/>
          <w:color w:val="auto"/>
        </w:rPr>
      </w:pPr>
    </w:p>
    <w:p>
      <w:pPr>
        <w:ind w:firstLine="286"/>
        <w:spacing w:after="0" w:line="254" w:lineRule="auto"/>
        <w:rPr>
          <w:sz w:val="20"/>
          <w:szCs w:val="20"/>
          <w:color w:val="auto"/>
        </w:rPr>
      </w:pPr>
      <w:r>
        <w:rPr>
          <w:rFonts w:ascii="Arial" w:cs="Arial" w:eastAsia="Arial" w:hAnsi="Arial"/>
          <w:sz w:val="16"/>
          <w:szCs w:val="16"/>
          <w:color w:val="auto"/>
        </w:rPr>
        <w:t>The Audit Committee’s independent inquiry identified downward adjustments of $7.0 million to previously reported cumulative earnings for the years 1999 through 2003. As a result, the Company restated certain of our historical financial results as more fully discussed under “Item 6 — Selected Financial Data” and in Note 3 to our financial statements under “Item 8 — Financial Statements and Supplementary Data.” In addition, the Company’s results of operations for 2003 as set forth in this report differ from the unaudited financial results initially reported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Remedial Actions</w:t>
      </w:r>
    </w:p>
    <w:p>
      <w:pPr>
        <w:spacing w:after="0" w:line="228" w:lineRule="exact"/>
        <w:rPr>
          <w:sz w:val="20"/>
          <w:szCs w:val="20"/>
          <w:color w:val="auto"/>
        </w:rPr>
      </w:pPr>
    </w:p>
    <w:p>
      <w:pPr>
        <w:ind w:right="60" w:firstLine="286"/>
        <w:spacing w:after="0" w:line="297" w:lineRule="auto"/>
        <w:rPr>
          <w:sz w:val="20"/>
          <w:szCs w:val="20"/>
          <w:color w:val="auto"/>
        </w:rPr>
      </w:pPr>
      <w:r>
        <w:rPr>
          <w:rFonts w:ascii="Arial" w:cs="Arial" w:eastAsia="Arial" w:hAnsi="Arial"/>
          <w:sz w:val="14"/>
          <w:szCs w:val="14"/>
          <w:color w:val="auto"/>
        </w:rPr>
        <w:t>As a result of the independent inquiry discussed above and an internal review conducted by the Company in the third and fourth quarters of 2003, the Company’s management implemented and continues to implement actions that are designed to improve the effectiveness of internal controls with respect to its Canadian service centers. Specifically, the Company has identified remedial actions to (1) address control issues in the Canadian operations of the Company’s Service Experts operations, (2) enhance the Company’s procedures for monitoring management’s remediation of internal audit findings and (3) enhance the Company’s policies and procedures for the handling of whistleblower claims. As noted below, implementation of many of these actions began in December 2003 and has already been completed.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460" w:right="180" w:hanging="119"/>
        <w:spacing w:after="0" w:line="25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Reorganize the accounting function of the Canadian operations from a stand alone entity to an integrated operation within the Service Experts structure. </w:t>
      </w:r>
      <w:r>
        <w:rPr>
          <w:rFonts w:ascii="Arial" w:cs="Arial" w:eastAsia="Arial" w:hAnsi="Arial"/>
          <w:sz w:val="16"/>
          <w:szCs w:val="16"/>
          <w:color w:val="auto"/>
        </w:rPr>
        <w:t>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moving the majority of the accounting functions for its Canadian service centers into its two U.S. regional accounting centers, leaving bookkeeping and data entry as the only accounting functions performed at the Canadian center level. The Company anticipates that all Canadian centers will be moved to a regional accounting center by the end of 2004. In addition, all accounting duties formerly performed by the Service Experts Canadian headquarters have been moved to the Company’s headquarters in Richardson, Texas.</w:t>
      </w:r>
    </w:p>
    <w:p>
      <w:pPr>
        <w:spacing w:after="0" w:line="202" w:lineRule="exact"/>
        <w:rPr>
          <w:rFonts w:ascii="Arial" w:cs="Arial" w:eastAsia="Arial" w:hAnsi="Arial"/>
          <w:sz w:val="16"/>
          <w:szCs w:val="16"/>
          <w:color w:val="auto"/>
        </w:rPr>
      </w:pPr>
    </w:p>
    <w:p>
      <w:pPr>
        <w:ind w:left="460" w:right="80" w:hanging="119"/>
        <w:spacing w:after="0" w:line="336"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Reorganize the reporting and management structure of the Canadian operations. </w:t>
      </w:r>
      <w:r>
        <w:rPr>
          <w:rFonts w:ascii="Arial" w:cs="Arial" w:eastAsia="Arial" w:hAnsi="Arial"/>
          <w:sz w:val="14"/>
          <w:szCs w:val="14"/>
          <w:color w:val="auto"/>
        </w:rPr>
        <w:t>The chief executive officer and chief financial officer positions in the Service Experts</w:t>
      </w:r>
      <w:r>
        <w:rPr>
          <w:rFonts w:ascii="Arial" w:cs="Arial" w:eastAsia="Arial" w:hAnsi="Arial"/>
          <w:sz w:val="14"/>
          <w:szCs w:val="14"/>
          <w:i w:val="1"/>
          <w:iCs w:val="1"/>
          <w:color w:val="auto"/>
        </w:rPr>
        <w:t xml:space="preserve"> </w:t>
      </w:r>
      <w:r>
        <w:rPr>
          <w:rFonts w:ascii="Arial" w:cs="Arial" w:eastAsia="Arial" w:hAnsi="Arial"/>
          <w:sz w:val="14"/>
          <w:szCs w:val="14"/>
          <w:color w:val="auto"/>
        </w:rPr>
        <w:t>Canadian operations have been eliminated and all Canadian accounting personnel report directly to financial and accounting personnel within the Service Experts organization.</w:t>
      </w:r>
    </w:p>
    <w:p>
      <w:pPr>
        <w:spacing w:after="0" w:line="145" w:lineRule="exact"/>
        <w:rPr>
          <w:rFonts w:ascii="Arial" w:cs="Arial" w:eastAsia="Arial" w:hAnsi="Arial"/>
          <w:sz w:val="14"/>
          <w:szCs w:val="14"/>
          <w:color w:val="auto"/>
        </w:rPr>
      </w:pPr>
    </w:p>
    <w:p>
      <w:pPr>
        <w:ind w:left="460" w:right="60" w:hanging="119"/>
        <w:spacing w:after="0" w:line="25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Implement the STARS accounting system in the Canadian centers. </w:t>
      </w:r>
      <w:r>
        <w:rPr>
          <w:rFonts w:ascii="Arial" w:cs="Arial" w:eastAsia="Arial" w:hAnsi="Arial"/>
          <w:sz w:val="16"/>
          <w:szCs w:val="16"/>
          <w:color w:val="auto"/>
        </w:rPr>
        <w:t>The Company is accelerating the implementation of the STARS accounting system in the Canadian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expects all centers to have implemented it by the end of the third quarter of 2004. STARS (“System Training Action Resource Success”) is an operations and financial computer system that has been customized to meet the needs of the Company’s centers. The STARS system has been functioning at U.S. centers and the Company believes it is a good system for management and control of the Service Experts business.</w:t>
      </w:r>
    </w:p>
    <w:p>
      <w:pPr>
        <w:spacing w:after="0" w:line="199" w:lineRule="exact"/>
        <w:rPr>
          <w:rFonts w:ascii="Arial" w:cs="Arial" w:eastAsia="Arial" w:hAnsi="Arial"/>
          <w:sz w:val="16"/>
          <w:szCs w:val="16"/>
          <w:color w:val="auto"/>
        </w:rPr>
      </w:pPr>
    </w:p>
    <w:p>
      <w:pPr>
        <w:ind w:left="460" w:hanging="119"/>
        <w:spacing w:after="0" w:line="25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Adopt consistent accounting policies in all Canadian centers and establish a training program for accounting personnel in Canadian centers. </w:t>
      </w:r>
      <w:r>
        <w:rPr>
          <w:rFonts w:ascii="Arial" w:cs="Arial" w:eastAsia="Arial" w:hAnsi="Arial"/>
          <w:sz w:val="16"/>
          <w:szCs w:val="16"/>
          <w:color w:val="auto"/>
        </w:rPr>
        <w:t>The Company’s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and procedures manual has been adopted and implemented in the Canadian centers. In addition, concurrently with the implementation of STARS at a center, the bookkeeping and data entry personnel receive training on the system and will continue to receive training as required to ensure their understanding of the system and accounting policies, procedures and controls.</w:t>
      </w:r>
    </w:p>
    <w:p>
      <w:pPr>
        <w:spacing w:after="0" w:line="199" w:lineRule="exact"/>
        <w:rPr>
          <w:rFonts w:ascii="Arial" w:cs="Arial" w:eastAsia="Arial" w:hAnsi="Arial"/>
          <w:sz w:val="16"/>
          <w:szCs w:val="16"/>
          <w:color w:val="auto"/>
        </w:rPr>
      </w:pPr>
    </w:p>
    <w:p>
      <w:pPr>
        <w:ind w:left="460" w:right="60" w:hanging="119"/>
        <w:spacing w:after="0" w:line="310"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Establish a process of increased oversight and monitoring of the Canadian centers. </w:t>
      </w:r>
      <w:r>
        <w:rPr>
          <w:rFonts w:ascii="Arial" w:cs="Arial" w:eastAsia="Arial" w:hAnsi="Arial"/>
          <w:sz w:val="14"/>
          <w:szCs w:val="14"/>
          <w:color w:val="auto"/>
        </w:rPr>
        <w:t>Through the Company’s Sarbanes-Oxley 404 process, the Company is reviewing the design</w:t>
      </w:r>
      <w:r>
        <w:rPr>
          <w:rFonts w:ascii="Arial" w:cs="Arial" w:eastAsia="Arial" w:hAnsi="Arial"/>
          <w:sz w:val="14"/>
          <w:szCs w:val="14"/>
          <w:i w:val="1"/>
          <w:iCs w:val="1"/>
          <w:color w:val="auto"/>
        </w:rPr>
        <w:t xml:space="preserve"> </w:t>
      </w:r>
      <w:r>
        <w:rPr>
          <w:rFonts w:ascii="Arial" w:cs="Arial" w:eastAsia="Arial" w:hAnsi="Arial"/>
          <w:sz w:val="14"/>
          <w:szCs w:val="14"/>
          <w:color w:val="auto"/>
        </w:rPr>
        <w:t>and functionality of its internal controls, including those of the Canadian centers. The efforts of the Company’s internal audit department include, and will continue to include the Canadian centers in their annual risk assessment and audit plan to ensure that control compliance is functioning and that recommended remedial actions are implemented.</w:t>
      </w:r>
    </w:p>
    <w:p>
      <w:pPr>
        <w:spacing w:after="0" w:line="163" w:lineRule="exact"/>
        <w:rPr>
          <w:rFonts w:ascii="Arial" w:cs="Arial" w:eastAsia="Arial" w:hAnsi="Arial"/>
          <w:sz w:val="14"/>
          <w:szCs w:val="14"/>
          <w:color w:val="auto"/>
        </w:rPr>
      </w:pPr>
    </w:p>
    <w:p>
      <w:pPr>
        <w:ind w:left="460" w:right="400" w:hanging="119"/>
        <w:spacing w:after="0" w:line="26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Enhance the procedures for monitoring management’s remediation of internal audit findings. </w:t>
      </w:r>
      <w:r>
        <w:rPr>
          <w:rFonts w:ascii="Arial" w:cs="Arial" w:eastAsia="Arial" w:hAnsi="Arial"/>
          <w:sz w:val="16"/>
          <w:szCs w:val="16"/>
          <w:color w:val="auto"/>
        </w:rPr>
        <w:t>The Company is developing monitoring procedures to include Business Unit</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and oversight by Senior management to ensure prompt and appropriate resolution of all findings.</w:t>
      </w:r>
    </w:p>
    <w:p>
      <w:pPr>
        <w:spacing w:after="0" w:line="191" w:lineRule="exact"/>
        <w:rPr>
          <w:rFonts w:ascii="Arial" w:cs="Arial" w:eastAsia="Arial" w:hAnsi="Arial"/>
          <w:sz w:val="16"/>
          <w:szCs w:val="16"/>
          <w:color w:val="auto"/>
        </w:rPr>
      </w:pPr>
    </w:p>
    <w:p>
      <w:pPr>
        <w:ind w:left="460" w:right="240" w:hanging="119"/>
        <w:spacing w:after="0" w:line="310"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Strengthen the policies and procedures for the handling of whistleblower claims. </w:t>
      </w:r>
      <w:r>
        <w:rPr>
          <w:rFonts w:ascii="Arial" w:cs="Arial" w:eastAsia="Arial" w:hAnsi="Arial"/>
          <w:sz w:val="14"/>
          <w:szCs w:val="14"/>
          <w:color w:val="auto"/>
        </w:rPr>
        <w:t>The Company has adopted an enhanced whistleblower policy and established procedures to</w:t>
      </w:r>
      <w:r>
        <w:rPr>
          <w:rFonts w:ascii="Arial" w:cs="Arial" w:eastAsia="Arial" w:hAnsi="Arial"/>
          <w:sz w:val="14"/>
          <w:szCs w:val="14"/>
          <w:i w:val="1"/>
          <w:iCs w:val="1"/>
          <w:color w:val="auto"/>
        </w:rPr>
        <w:t xml:space="preserve"> </w:t>
      </w:r>
      <w:r>
        <w:rPr>
          <w:rFonts w:ascii="Arial" w:cs="Arial" w:eastAsia="Arial" w:hAnsi="Arial"/>
          <w:sz w:val="14"/>
          <w:szCs w:val="14"/>
          <w:color w:val="auto"/>
        </w:rPr>
        <w:t>ensure that all complaints are reported to the Company’s chief legal officer and director of internal audit and, depending on the nature of the claim, the Audit Committee. In addition, the Company is implementing compliance and ethics training to provide appropriate training to all levels of employees, including the Company’s executive staff.</w:t>
      </w:r>
    </w:p>
    <w:p>
      <w:pPr>
        <w:spacing w:after="0" w:line="163" w:lineRule="exact"/>
        <w:rPr>
          <w:rFonts w:ascii="Arial" w:cs="Arial" w:eastAsia="Arial" w:hAnsi="Arial"/>
          <w:sz w:val="14"/>
          <w:szCs w:val="14"/>
          <w:color w:val="auto"/>
        </w:rPr>
      </w:pPr>
    </w:p>
    <w:p>
      <w:pPr>
        <w:ind w:left="460" w:right="160" w:hanging="119"/>
        <w:spacing w:after="0" w:line="301"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Reinforce the accounting controls and procedures for the Canadian service centers scheduled for disposition. </w:t>
      </w:r>
      <w:r>
        <w:rPr>
          <w:rFonts w:ascii="Arial" w:cs="Arial" w:eastAsia="Arial" w:hAnsi="Arial"/>
          <w:sz w:val="14"/>
          <w:szCs w:val="14"/>
          <w:color w:val="auto"/>
        </w:rPr>
        <w:t>The Company has announced a turnaround plan designed to</w:t>
      </w:r>
      <w:r>
        <w:rPr>
          <w:rFonts w:ascii="Arial" w:cs="Arial" w:eastAsia="Arial" w:hAnsi="Arial"/>
          <w:sz w:val="14"/>
          <w:szCs w:val="14"/>
          <w:i w:val="1"/>
          <w:iCs w:val="1"/>
          <w:color w:val="auto"/>
        </w:rPr>
        <w:t xml:space="preserve"> </w:t>
      </w:r>
      <w:r>
        <w:rPr>
          <w:rFonts w:ascii="Arial" w:cs="Arial" w:eastAsia="Arial" w:hAnsi="Arial"/>
          <w:sz w:val="14"/>
          <w:szCs w:val="14"/>
          <w:color w:val="auto"/>
        </w:rPr>
        <w:t>improve the performance of the Service Experts operations. The Company has identified 130 service centers in the U.S. and Canada which will comprise the ongoing Service Experts operations, and the remaining centers have been or are in the process of being disposed of. The Company has strengthened the accounting controls and procedures for the Canadian centers scheduled for disposition, including increasing the oversight of such centers and reviewing a weekly cash basis tracking report for such centers.</w:t>
      </w:r>
    </w:p>
    <w:p>
      <w:pPr>
        <w:spacing w:after="0" w:line="170" w:lineRule="exact"/>
        <w:rPr>
          <w:rFonts w:ascii="Arial" w:cs="Arial" w:eastAsia="Arial" w:hAnsi="Arial"/>
          <w:sz w:val="14"/>
          <w:szCs w:val="14"/>
          <w:color w:val="auto"/>
        </w:rPr>
      </w:pPr>
    </w:p>
    <w:p>
      <w:pPr>
        <w:ind w:left="460" w:right="100" w:hanging="119"/>
        <w:spacing w:after="0" w:line="264"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Take corrective action with respect to certain Company personnel. </w:t>
      </w:r>
      <w:r>
        <w:rPr>
          <w:rFonts w:ascii="Arial" w:cs="Arial" w:eastAsia="Arial" w:hAnsi="Arial"/>
          <w:sz w:val="16"/>
          <w:szCs w:val="16"/>
          <w:color w:val="auto"/>
        </w:rPr>
        <w:t>The Company has terminated or is in the process of terminating the duties of all Canadian personnel alleged</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engaged in improprieties.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228" w:lineRule="exact"/>
        <w:rPr>
          <w:sz w:val="20"/>
          <w:szCs w:val="20"/>
          <w:color w:val="auto"/>
        </w:rPr>
      </w:pPr>
    </w:p>
    <w:p>
      <w:pPr>
        <w:ind w:right="80" w:firstLine="286"/>
        <w:spacing w:after="0" w:line="294" w:lineRule="auto"/>
        <w:rPr>
          <w:sz w:val="20"/>
          <w:szCs w:val="20"/>
          <w:color w:val="auto"/>
        </w:rPr>
      </w:pPr>
      <w:r>
        <w:rPr>
          <w:rFonts w:ascii="Arial" w:cs="Arial" w:eastAsia="Arial" w:hAnsi="Arial"/>
          <w:sz w:val="14"/>
          <w:szCs w:val="14"/>
          <w:color w:val="auto"/>
        </w:rPr>
        <w:t>The Company carried out an evaluation, under the supervision and with the participation of the Company’s current management, including its Chief Executive Officer and Chief Financial Officer (the Company’s principal executive officer and principal financial officer, respectively) of the effectiveness of its disclosure controls and procedures as of the end of the period covered by this report. Based on that evaluation, the Chief Executive Officer and Chief Financial Officer have concluded that, to the extent and for the reasons described above, the Company’s disclosure controls and procedures were not effective as of December 31, 2003 to provide reasonable assurance that information required to be disclosed by the Company in the reports filed or submitted by the Company under the Securities Exchange Act of 1934 is recorded, processed, summarized and reported within the time periods specified in the Securities and Exchange Commission’s rules and forms.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28" w:lineRule="exact"/>
        <w:rPr>
          <w:sz w:val="20"/>
          <w:szCs w:val="20"/>
          <w:color w:val="auto"/>
        </w:rPr>
      </w:pPr>
    </w:p>
    <w:p>
      <w:pPr>
        <w:ind w:right="180" w:firstLine="286"/>
        <w:spacing w:after="0" w:line="264" w:lineRule="auto"/>
        <w:rPr>
          <w:sz w:val="20"/>
          <w:szCs w:val="20"/>
          <w:color w:val="auto"/>
        </w:rPr>
      </w:pPr>
      <w:r>
        <w:rPr>
          <w:rFonts w:ascii="Arial" w:cs="Arial" w:eastAsia="Arial" w:hAnsi="Arial"/>
          <w:sz w:val="16"/>
          <w:szCs w:val="16"/>
          <w:color w:val="auto"/>
        </w:rPr>
        <w:t>Except as identified above, during the quarter ended December 31, 2003, there were no changes in the Company’s internal controls over financial reporting that have materially affected, or are reasonably likely to materially affect, the Company’s internal controls over financial reporting.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III</w:t>
      </w:r>
    </w:p>
    <w:p>
      <w:pPr>
        <w:spacing w:after="0" w:line="200" w:lineRule="exact"/>
        <w:rPr>
          <w:sz w:val="20"/>
          <w:szCs w:val="20"/>
          <w:color w:val="auto"/>
        </w:rPr>
      </w:pP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3"/>
          <w:szCs w:val="13"/>
          <w:b w:val="1"/>
          <w:bCs w:val="1"/>
          <w:i w:val="1"/>
          <w:iCs w:val="1"/>
          <w:color w:val="auto"/>
        </w:rPr>
        <w:t>Directors and Executive Officers of the Registrant</w:t>
      </w:r>
    </w:p>
    <w:p>
      <w:pPr>
        <w:spacing w:after="0" w:line="228" w:lineRule="exact"/>
        <w:rPr>
          <w:sz w:val="20"/>
          <w:szCs w:val="20"/>
          <w:color w:val="auto"/>
        </w:rPr>
      </w:pPr>
    </w:p>
    <w:p>
      <w:pPr>
        <w:ind w:right="380" w:firstLine="286"/>
        <w:spacing w:after="0" w:line="264" w:lineRule="auto"/>
        <w:rPr>
          <w:sz w:val="20"/>
          <w:szCs w:val="20"/>
          <w:color w:val="auto"/>
        </w:rPr>
      </w:pPr>
      <w:r>
        <w:rPr>
          <w:rFonts w:ascii="Arial" w:cs="Arial" w:eastAsia="Arial" w:hAnsi="Arial"/>
          <w:sz w:val="16"/>
          <w:szCs w:val="16"/>
          <w:color w:val="auto"/>
        </w:rPr>
        <w:t>Information regarding the Company’s directors responsive to Item 401 of Regulation S-K is set forth in Exhibit 99.1, which is attached hereto. For information regarding the Company’s executive officers, reference is made to Part I, at pages 9 through 11 inclusive, of this Annual Report.</w:t>
      </w:r>
    </w:p>
    <w:p>
      <w:pPr>
        <w:spacing w:after="0" w:line="3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22" w:lineRule="exact"/>
        <w:rPr>
          <w:sz w:val="20"/>
          <w:szCs w:val="20"/>
          <w:color w:val="auto"/>
        </w:rPr>
      </w:pPr>
    </w:p>
    <w:p>
      <w:pPr>
        <w:ind w:right="600" w:firstLine="286"/>
        <w:spacing w:after="0" w:line="264" w:lineRule="auto"/>
        <w:rPr>
          <w:sz w:val="20"/>
          <w:szCs w:val="20"/>
          <w:color w:val="auto"/>
        </w:rPr>
      </w:pPr>
      <w:r>
        <w:rPr>
          <w:rFonts w:ascii="Arial" w:cs="Arial" w:eastAsia="Arial" w:hAnsi="Arial"/>
          <w:sz w:val="16"/>
          <w:szCs w:val="16"/>
          <w:color w:val="auto"/>
        </w:rPr>
        <w:t>The Company has a separately designated standing Audit Committee established in accordance with Section 3(a)(58)(A) of the Exchange Act. The members of the Audit Committee are Janet K. Cooper (Chair), C.L. (Jerry) Henry, John E. Major and Terry D. Stinson.</w:t>
      </w:r>
    </w:p>
    <w:p>
      <w:pPr>
        <w:spacing w:after="0" w:line="38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Audit Committee Financial Expert</w:t>
      </w:r>
    </w:p>
    <w:p>
      <w:pPr>
        <w:spacing w:after="0" w:line="222" w:lineRule="exact"/>
        <w:rPr>
          <w:sz w:val="20"/>
          <w:szCs w:val="20"/>
          <w:color w:val="auto"/>
        </w:rPr>
      </w:pPr>
    </w:p>
    <w:p>
      <w:pPr>
        <w:ind w:firstLine="286"/>
        <w:spacing w:after="0" w:line="256" w:lineRule="auto"/>
        <w:rPr>
          <w:sz w:val="20"/>
          <w:szCs w:val="20"/>
          <w:color w:val="auto"/>
        </w:rPr>
      </w:pPr>
      <w:r>
        <w:rPr>
          <w:rFonts w:ascii="Arial" w:cs="Arial" w:eastAsia="Arial" w:hAnsi="Arial"/>
          <w:sz w:val="16"/>
          <w:szCs w:val="16"/>
          <w:color w:val="auto"/>
        </w:rPr>
        <w:t>The Board of Directors of the Company has determined that Janet K. Cooper, Chair of the Audit Committee, is an audit committee financial expert as defined by Item 401(h) of Regulation S-K of the Securities Exchange Act of 1934, as amended (the “Exchange Act”) and is independent within the meaning of Item 7(d)(3)(iv) of Schedule 14A of the Exchange Act.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Code of Conduct and Code of Ethical Conduct</w:t>
      </w:r>
    </w:p>
    <w:p>
      <w:pPr>
        <w:spacing w:after="0" w:line="222" w:lineRule="exact"/>
        <w:rPr>
          <w:sz w:val="20"/>
          <w:szCs w:val="20"/>
          <w:color w:val="auto"/>
        </w:rPr>
      </w:pPr>
    </w:p>
    <w:p>
      <w:pPr>
        <w:ind w:right="80" w:firstLine="286"/>
        <w:spacing w:after="0" w:line="336" w:lineRule="auto"/>
        <w:rPr>
          <w:sz w:val="20"/>
          <w:szCs w:val="20"/>
          <w:color w:val="auto"/>
        </w:rPr>
      </w:pPr>
      <w:r>
        <w:rPr>
          <w:rFonts w:ascii="Arial" w:cs="Arial" w:eastAsia="Arial" w:hAnsi="Arial"/>
          <w:sz w:val="14"/>
          <w:szCs w:val="14"/>
          <w:color w:val="auto"/>
        </w:rPr>
        <w:t>The Company has adopted a Code of Conduct that applies to all the Company’s Directors, executive officers and employees. The Code of Conduct is available on the Company’s website at http://www.lennoxinternational.com/governance/code.html. Shareholders may request a free copy of these documents from: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Lennox International Inc.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Attention: Investor Relations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2140 Lake Park Blvd.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Richardson, TX 75080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(972) 497-5000</w:t>
      </w:r>
    </w:p>
    <w:p>
      <w:pPr>
        <w:spacing w:after="0" w:line="216" w:lineRule="exact"/>
        <w:rPr>
          <w:sz w:val="20"/>
          <w:szCs w:val="20"/>
          <w:color w:val="auto"/>
        </w:rPr>
      </w:pPr>
    </w:p>
    <w:p>
      <w:pPr>
        <w:ind w:right="20" w:firstLine="286"/>
        <w:spacing w:after="0" w:line="264" w:lineRule="auto"/>
        <w:rPr>
          <w:sz w:val="20"/>
          <w:szCs w:val="20"/>
          <w:color w:val="auto"/>
        </w:rPr>
      </w:pPr>
      <w:r>
        <w:rPr>
          <w:rFonts w:ascii="Arial" w:cs="Arial" w:eastAsia="Arial" w:hAnsi="Arial"/>
          <w:sz w:val="16"/>
          <w:szCs w:val="16"/>
          <w:color w:val="auto"/>
        </w:rPr>
        <w:t>The Company Code of Ethical Conduct for Senior Financial and Principal Executive Officers (“Code of Ethical Conduct”) is also posted on the Company’s website. Amendments to and waivers from the Code of Conduct and Code of Ethical Conduct will be disclosed on the Company’s website.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83" w:name="page84"/>
    <w:bookmarkEnd w:id="83"/>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Corporate Governance Guidelines — Certain Committee Charters</w:t>
      </w:r>
    </w:p>
    <w:p>
      <w:pPr>
        <w:spacing w:after="0" w:line="222" w:lineRule="exact"/>
        <w:rPr>
          <w:sz w:val="20"/>
          <w:szCs w:val="20"/>
          <w:color w:val="auto"/>
        </w:rPr>
      </w:pPr>
    </w:p>
    <w:p>
      <w:pPr>
        <w:jc w:val="both"/>
        <w:ind w:left="5" w:right="260" w:firstLine="286"/>
        <w:spacing w:after="0" w:line="310" w:lineRule="auto"/>
        <w:rPr>
          <w:sz w:val="20"/>
          <w:szCs w:val="20"/>
          <w:color w:val="auto"/>
        </w:rPr>
      </w:pPr>
      <w:r>
        <w:rPr>
          <w:rFonts w:ascii="Arial" w:cs="Arial" w:eastAsia="Arial" w:hAnsi="Arial"/>
          <w:sz w:val="14"/>
          <w:szCs w:val="14"/>
          <w:color w:val="auto"/>
        </w:rPr>
        <w:t>The Company had adopted Corporate Governance Guidelines as well as charters for each of its Audit, Compensation and Board Governance Committees. These documents are available on the Company’s website at http://www//lennoxinternational.com/governance/committee.html. Shareholders may request a free copy of any of these documents from the address and phone numbers set forth above under “Code of Conduct and Code of Ethical Conduct.”</w:t>
      </w:r>
    </w:p>
    <w:p>
      <w:pPr>
        <w:spacing w:after="0" w:line="354" w:lineRule="exact"/>
        <w:rPr>
          <w:sz w:val="20"/>
          <w:szCs w:val="20"/>
          <w:color w:val="auto"/>
        </w:rPr>
      </w:pPr>
    </w:p>
    <w:p>
      <w:pPr>
        <w:ind w:left="345"/>
        <w:spacing w:after="0"/>
        <w:rPr>
          <w:sz w:val="20"/>
          <w:szCs w:val="20"/>
          <w:color w:val="auto"/>
        </w:rPr>
      </w:pPr>
      <w:r>
        <w:rPr>
          <w:rFonts w:ascii="Arial" w:cs="Arial" w:eastAsia="Arial" w:hAnsi="Arial"/>
          <w:sz w:val="16"/>
          <w:szCs w:val="16"/>
          <w:b w:val="1"/>
          <w:bCs w:val="1"/>
          <w:i w:val="1"/>
          <w:iCs w:val="1"/>
          <w:color w:val="auto"/>
        </w:rPr>
        <w:t>Section 16(a) Beneficial Ownership Reporting Compliance</w:t>
      </w:r>
    </w:p>
    <w:p>
      <w:pPr>
        <w:spacing w:after="0" w:line="222" w:lineRule="exact"/>
        <w:rPr>
          <w:sz w:val="20"/>
          <w:szCs w:val="20"/>
          <w:color w:val="auto"/>
        </w:rPr>
      </w:pPr>
    </w:p>
    <w:p>
      <w:pPr>
        <w:ind w:left="5" w:right="60" w:firstLine="286"/>
        <w:spacing w:after="0" w:line="294" w:lineRule="auto"/>
        <w:rPr>
          <w:sz w:val="20"/>
          <w:szCs w:val="20"/>
          <w:color w:val="auto"/>
        </w:rPr>
      </w:pPr>
      <w:r>
        <w:rPr>
          <w:rFonts w:ascii="Arial" w:cs="Arial" w:eastAsia="Arial" w:hAnsi="Arial"/>
          <w:sz w:val="14"/>
          <w:szCs w:val="14"/>
          <w:color w:val="auto"/>
        </w:rPr>
        <w:t>Section 16(a) of the Securities Exchange Act of 1934 requires LII’s Directors and executive officers and persons who beneficially own more than 10% of LII common stock to file with the Securities and Exchange Commission and the New York Stock Exchange, initial reports of ownership and reports of changes in their ownership of LII common stock. Directors, executive officers and greater than 10% beneficial owners are required by the Securities and Exchange Commission regulations to furnish LII with copies of these reports. Based solely upon a review of such reports and related information furnished to LII, LII believes that during the 2003 fiscal year, all LII Directors, executive officers and greater than 10% beneficial owners were in compliance with the section 16(a) filing requirements, other than Thomas W. Booth, who inadvertently filed one Form 4 Statement of Change in Beneficial Ownership, reporting three transactions, on December 17, 2003, two days late.</w:t>
      </w:r>
    </w:p>
    <w:p>
      <w:pPr>
        <w:spacing w:after="0" w:line="361" w:lineRule="exact"/>
        <w:rPr>
          <w:sz w:val="20"/>
          <w:szCs w:val="20"/>
          <w:color w:val="auto"/>
        </w:rPr>
      </w:pPr>
    </w:p>
    <w:p>
      <w:pPr>
        <w:ind w:left="5"/>
        <w:spacing w:after="0"/>
        <w:tabs>
          <w:tab w:leader="none" w:pos="1024"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Information responsive to Item 402 of Regulation S-K is set forth in Exhibit 99.2, which is attached hereto.</w:t>
      </w:r>
    </w:p>
    <w:p>
      <w:pPr>
        <w:spacing w:after="0" w:line="200" w:lineRule="exact"/>
        <w:rPr>
          <w:sz w:val="20"/>
          <w:szCs w:val="20"/>
          <w:color w:val="auto"/>
        </w:rPr>
      </w:pPr>
    </w:p>
    <w:p>
      <w:pPr>
        <w:spacing w:after="0" w:line="206" w:lineRule="exact"/>
        <w:rPr>
          <w:sz w:val="20"/>
          <w:szCs w:val="20"/>
          <w:color w:val="auto"/>
        </w:rPr>
      </w:pPr>
    </w:p>
    <w:p>
      <w:pPr>
        <w:ind w:left="5"/>
        <w:spacing w:after="0"/>
        <w:tabs>
          <w:tab w:leader="none" w:pos="1024"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3"/>
          <w:szCs w:val="13"/>
          <w:b w:val="1"/>
          <w:bCs w:val="1"/>
          <w:i w:val="1"/>
          <w:iCs w:val="1"/>
          <w:color w:val="auto"/>
        </w:rPr>
        <w:t>Security Ownership of Certain Beneficial Owners and Management</w:t>
      </w:r>
    </w:p>
    <w:p>
      <w:pPr>
        <w:spacing w:after="0" w:line="228" w:lineRule="exact"/>
        <w:rPr>
          <w:sz w:val="20"/>
          <w:szCs w:val="20"/>
          <w:color w:val="auto"/>
        </w:rPr>
      </w:pPr>
    </w:p>
    <w:p>
      <w:pPr>
        <w:ind w:left="5" w:right="140" w:firstLine="282"/>
        <w:spacing w:after="0" w:line="264" w:lineRule="auto"/>
        <w:tabs>
          <w:tab w:leader="none" w:pos="50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accordance with Item 201(d) of Regulation S-K, set forth in the table below is certain information regarding the number of shares of our common stock that were subject to outstanding stock options or other compensation plan grants and awards at December 31, 2003.</w:t>
      </w:r>
    </w:p>
    <w:p>
      <w:pPr>
        <w:spacing w:after="0" w:line="16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EQUITY COMPENSATION PLANS INFORMATION</w:t>
      </w:r>
    </w:p>
    <w:p>
      <w:pPr>
        <w:spacing w:after="0" w:line="38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3"/>
          </w:tcPr>
          <w:p>
            <w:pPr>
              <w:jc w:val="right"/>
              <w:ind w:right="700"/>
              <w:spacing w:after="0"/>
              <w:rPr>
                <w:sz w:val="20"/>
                <w:szCs w:val="20"/>
                <w:color w:val="auto"/>
              </w:rPr>
            </w:pPr>
            <w:r>
              <w:rPr>
                <w:rFonts w:ascii="Arial" w:cs="Arial" w:eastAsia="Arial" w:hAnsi="Arial"/>
                <w:sz w:val="12"/>
                <w:szCs w:val="12"/>
                <w:b w:val="1"/>
                <w:bCs w:val="1"/>
                <w:color w:val="auto"/>
              </w:rPr>
              <w:t>Number of Securities</w:t>
            </w:r>
          </w:p>
        </w:tc>
        <w:tc>
          <w:tcPr>
            <w:tcW w:w="280" w:type="dxa"/>
            <w:vAlign w:val="bottom"/>
          </w:tcPr>
          <w:p>
            <w:pPr>
              <w:spacing w:after="0"/>
              <w:rPr>
                <w:sz w:val="12"/>
                <w:szCs w:val="12"/>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Weighted-average</w:t>
            </w:r>
          </w:p>
        </w:tc>
        <w:tc>
          <w:tcPr>
            <w:tcW w:w="300" w:type="dxa"/>
            <w:vAlign w:val="bottom"/>
          </w:tcPr>
          <w:p>
            <w:pPr>
              <w:spacing w:after="0"/>
              <w:rPr>
                <w:sz w:val="12"/>
                <w:szCs w:val="12"/>
                <w:color w:val="auto"/>
              </w:rPr>
            </w:pPr>
          </w:p>
        </w:tc>
        <w:tc>
          <w:tcPr>
            <w:tcW w:w="2400" w:type="dxa"/>
            <w:vAlign w:val="bottom"/>
            <w:gridSpan w:val="3"/>
          </w:tcPr>
          <w:p>
            <w:pPr>
              <w:jc w:val="right"/>
              <w:ind w:right="660"/>
              <w:spacing w:after="0"/>
              <w:rPr>
                <w:sz w:val="20"/>
                <w:szCs w:val="20"/>
                <w:color w:val="auto"/>
              </w:rPr>
            </w:pPr>
            <w:r>
              <w:rPr>
                <w:rFonts w:ascii="Arial" w:cs="Arial" w:eastAsia="Arial" w:hAnsi="Arial"/>
                <w:sz w:val="12"/>
                <w:szCs w:val="12"/>
                <w:b w:val="1"/>
                <w:bCs w:val="1"/>
                <w:color w:val="auto"/>
              </w:rPr>
              <w:t>Number of Securities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40" w:type="dxa"/>
            <w:vAlign w:val="bottom"/>
            <w:gridSpan w:val="2"/>
          </w:tcPr>
          <w:p>
            <w:pPr>
              <w:ind w:left="1600"/>
              <w:spacing w:after="0"/>
              <w:rPr>
                <w:sz w:val="20"/>
                <w:szCs w:val="20"/>
                <w:color w:val="auto"/>
              </w:rPr>
            </w:pPr>
            <w:r>
              <w:rPr>
                <w:rFonts w:ascii="Arial" w:cs="Arial" w:eastAsia="Arial" w:hAnsi="Arial"/>
                <w:sz w:val="12"/>
                <w:szCs w:val="12"/>
                <w:b w:val="1"/>
                <w:bCs w:val="1"/>
                <w:color w:val="auto"/>
              </w:rPr>
              <w:t>Plan Category</w:t>
            </w:r>
          </w:p>
        </w:tc>
        <w:tc>
          <w:tcPr>
            <w:tcW w:w="300" w:type="dxa"/>
            <w:vAlign w:val="bottom"/>
          </w:tcPr>
          <w:p>
            <w:pPr>
              <w:spacing w:after="0"/>
              <w:rPr>
                <w:sz w:val="13"/>
                <w:szCs w:val="13"/>
                <w:color w:val="auto"/>
              </w:rPr>
            </w:pPr>
          </w:p>
        </w:tc>
        <w:tc>
          <w:tcPr>
            <w:tcW w:w="2480" w:type="dxa"/>
            <w:vAlign w:val="bottom"/>
            <w:gridSpan w:val="3"/>
          </w:tcPr>
          <w:p>
            <w:pPr>
              <w:jc w:val="right"/>
              <w:ind w:right="880"/>
              <w:spacing w:after="0"/>
              <w:rPr>
                <w:sz w:val="20"/>
                <w:szCs w:val="20"/>
                <w:color w:val="auto"/>
              </w:rPr>
            </w:pPr>
            <w:r>
              <w:rPr>
                <w:rFonts w:ascii="Arial" w:cs="Arial" w:eastAsia="Arial" w:hAnsi="Arial"/>
                <w:sz w:val="12"/>
                <w:szCs w:val="12"/>
                <w:b w:val="1"/>
                <w:bCs w:val="1"/>
                <w:color w:val="auto"/>
              </w:rPr>
              <w:t>to be Issued(a)</w:t>
            </w:r>
          </w:p>
        </w:tc>
        <w:tc>
          <w:tcPr>
            <w:tcW w:w="280" w:type="dxa"/>
            <w:vAlign w:val="bottom"/>
          </w:tcPr>
          <w:p>
            <w:pPr>
              <w:spacing w:after="0"/>
              <w:rPr>
                <w:sz w:val="13"/>
                <w:szCs w:val="13"/>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Exercise Price(b)</w:t>
            </w:r>
          </w:p>
        </w:tc>
        <w:tc>
          <w:tcPr>
            <w:tcW w:w="300" w:type="dxa"/>
            <w:vAlign w:val="bottom"/>
          </w:tcPr>
          <w:p>
            <w:pPr>
              <w:spacing w:after="0"/>
              <w:rPr>
                <w:sz w:val="13"/>
                <w:szCs w:val="13"/>
                <w:color w:val="auto"/>
              </w:rPr>
            </w:pPr>
          </w:p>
        </w:tc>
        <w:tc>
          <w:tcPr>
            <w:tcW w:w="2400" w:type="dxa"/>
            <w:vAlign w:val="bottom"/>
            <w:gridSpan w:val="3"/>
          </w:tcPr>
          <w:p>
            <w:pPr>
              <w:jc w:val="right"/>
              <w:ind w:right="860"/>
              <w:spacing w:after="0"/>
              <w:rPr>
                <w:sz w:val="20"/>
                <w:szCs w:val="20"/>
                <w:color w:val="auto"/>
              </w:rPr>
            </w:pPr>
            <w:r>
              <w:rPr>
                <w:rFonts w:ascii="Arial" w:cs="Arial" w:eastAsia="Arial" w:hAnsi="Arial"/>
                <w:sz w:val="12"/>
                <w:szCs w:val="12"/>
                <w:b w:val="1"/>
                <w:bCs w:val="1"/>
                <w:color w:val="auto"/>
              </w:rPr>
              <w:t>Remaining(c)</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20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Equity compensation approved by security holders</w:t>
            </w:r>
          </w:p>
        </w:tc>
        <w:tc>
          <w:tcPr>
            <w:tcW w:w="2780" w:type="dxa"/>
            <w:vAlign w:val="bottom"/>
            <w:gridSpan w:val="4"/>
            <w:shd w:val="clear" w:color="auto" w:fill="EEEEEE"/>
          </w:tcPr>
          <w:p>
            <w:pPr>
              <w:jc w:val="right"/>
              <w:ind w:right="660"/>
              <w:spacing w:after="0"/>
              <w:rPr>
                <w:sz w:val="20"/>
                <w:szCs w:val="20"/>
                <w:color w:val="auto"/>
              </w:rPr>
            </w:pPr>
            <w:r>
              <w:rPr>
                <w:rFonts w:ascii="Arial" w:cs="Arial" w:eastAsia="Arial" w:hAnsi="Arial"/>
                <w:sz w:val="16"/>
                <w:szCs w:val="16"/>
                <w:color w:val="auto"/>
              </w:rPr>
              <w:t>11,874,855(1)</w:t>
            </w:r>
          </w:p>
        </w:tc>
        <w:tc>
          <w:tcPr>
            <w:tcW w:w="2000" w:type="dxa"/>
            <w:vAlign w:val="bottom"/>
            <w:gridSpan w:val="4"/>
            <w:shd w:val="clear" w:color="auto" w:fill="EEEEEE"/>
          </w:tcPr>
          <w:p>
            <w:pPr>
              <w:jc w:val="right"/>
              <w:ind w:right="440"/>
              <w:spacing w:after="0"/>
              <w:rPr>
                <w:sz w:val="20"/>
                <w:szCs w:val="20"/>
                <w:color w:val="auto"/>
              </w:rPr>
            </w:pPr>
            <w:r>
              <w:rPr>
                <w:rFonts w:ascii="Arial" w:cs="Arial" w:eastAsia="Arial" w:hAnsi="Arial"/>
                <w:sz w:val="16"/>
                <w:szCs w:val="16"/>
                <w:color w:val="auto"/>
              </w:rPr>
              <w:t>$13.09(2)</w:t>
            </w:r>
          </w:p>
        </w:tc>
        <w:tc>
          <w:tcPr>
            <w:tcW w:w="2700" w:type="dxa"/>
            <w:vAlign w:val="bottom"/>
            <w:gridSpan w:val="4"/>
            <w:shd w:val="clear" w:color="auto" w:fill="EEEEEE"/>
          </w:tcPr>
          <w:p>
            <w:pPr>
              <w:jc w:val="right"/>
              <w:ind w:right="660"/>
              <w:spacing w:after="0"/>
              <w:rPr>
                <w:sz w:val="20"/>
                <w:szCs w:val="20"/>
                <w:color w:val="auto"/>
              </w:rPr>
            </w:pPr>
            <w:r>
              <w:rPr>
                <w:rFonts w:ascii="Arial" w:cs="Arial" w:eastAsia="Arial" w:hAnsi="Arial"/>
                <w:sz w:val="16"/>
                <w:szCs w:val="16"/>
                <w:color w:val="auto"/>
              </w:rPr>
              <w:t>3,600,580(3)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w w:val="91"/>
              </w:rPr>
              <w:t>Equity compensation plans not approved by security holders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40" w:type="dxa"/>
            <w:vAlign w:val="bottom"/>
            <w:gridSpan w:val="2"/>
            <w:shd w:val="clear" w:color="auto" w:fill="EEEEEE"/>
          </w:tcPr>
          <w:p>
            <w:pPr>
              <w:ind w:left="240"/>
              <w:spacing w:after="0"/>
              <w:rPr>
                <w:sz w:val="20"/>
                <w:szCs w:val="20"/>
                <w:color w:val="auto"/>
              </w:rPr>
            </w:pPr>
            <w:r>
              <w:rPr>
                <w:rFonts w:ascii="Arial" w:cs="Arial" w:eastAsia="Arial" w:hAnsi="Arial"/>
                <w:sz w:val="16"/>
                <w:szCs w:val="16"/>
                <w:color w:val="auto"/>
              </w:rPr>
              <w:t>Total</w:t>
            </w:r>
          </w:p>
        </w:tc>
        <w:tc>
          <w:tcPr>
            <w:tcW w:w="194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11,874,855</w:t>
            </w:r>
          </w:p>
        </w:tc>
        <w:tc>
          <w:tcPr>
            <w:tcW w:w="840" w:type="dxa"/>
            <w:vAlign w:val="bottom"/>
            <w:shd w:val="clear" w:color="auto" w:fill="EEEEEE"/>
          </w:tcPr>
          <w:p>
            <w:pPr>
              <w:spacing w:after="0"/>
              <w:rPr>
                <w:sz w:val="16"/>
                <w:szCs w:val="16"/>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$13.09</w:t>
            </w:r>
          </w:p>
        </w:tc>
        <w:tc>
          <w:tcPr>
            <w:tcW w:w="620" w:type="dxa"/>
            <w:vAlign w:val="bottom"/>
            <w:shd w:val="clear" w:color="auto" w:fill="EEEEEE"/>
          </w:tcPr>
          <w:p>
            <w:pPr>
              <w:spacing w:after="0"/>
              <w:rPr>
                <w:sz w:val="16"/>
                <w:szCs w:val="16"/>
                <w:color w:val="auto"/>
              </w:rPr>
            </w:pP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3,600,580</w:t>
            </w:r>
          </w:p>
        </w:tc>
        <w:tc>
          <w:tcPr>
            <w:tcW w:w="8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-221615</wp:posOffset>
            </wp:positionV>
            <wp:extent cx="12700" cy="355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-221615</wp:posOffset>
            </wp:positionV>
            <wp:extent cx="12700" cy="355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5147310</wp:posOffset>
            </wp:positionH>
            <wp:positionV relativeFrom="paragraph">
              <wp:posOffset>-221615</wp:posOffset>
            </wp:positionV>
            <wp:extent cx="12700" cy="355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-221615</wp:posOffset>
            </wp:positionV>
            <wp:extent cx="12700" cy="3556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6722110</wp:posOffset>
            </wp:positionH>
            <wp:positionV relativeFrom="paragraph">
              <wp:posOffset>-221615</wp:posOffset>
            </wp:positionV>
            <wp:extent cx="12700" cy="355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-221615</wp:posOffset>
            </wp:positionV>
            <wp:extent cx="12700" cy="355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35560"/>
                    </a:xfrm>
                    <a:prstGeom prst="rect">
                      <a:avLst/>
                    </a:prstGeom>
                    <a:noFill/>
                  </pic:spPr>
                </pic:pic>
              </a:graphicData>
            </a:graphic>
          </wp:anchor>
        </w:drawing>
      </w:r>
    </w:p>
    <w:p>
      <w:pPr>
        <w:spacing w:after="0" w:line="164" w:lineRule="exact"/>
        <w:rPr>
          <w:sz w:val="20"/>
          <w:szCs w:val="20"/>
          <w:color w:val="auto"/>
        </w:rPr>
      </w:pPr>
    </w:p>
    <w:p>
      <w:pPr>
        <w:ind w:left="465" w:hanging="465"/>
        <w:spacing w:after="0"/>
        <w:tabs>
          <w:tab w:leader="none" w:pos="4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Number of securities to be issued upon exercise of outstanding options, warrants and rights.</w:t>
      </w:r>
    </w:p>
    <w:p>
      <w:pPr>
        <w:spacing w:after="0" w:line="221" w:lineRule="exact"/>
        <w:rPr>
          <w:rFonts w:ascii="Arial" w:cs="Arial" w:eastAsia="Arial" w:hAnsi="Arial"/>
          <w:sz w:val="16"/>
          <w:szCs w:val="16"/>
          <w:color w:val="auto"/>
        </w:rPr>
      </w:pPr>
    </w:p>
    <w:p>
      <w:pPr>
        <w:ind w:left="465" w:hanging="465"/>
        <w:spacing w:after="0"/>
        <w:tabs>
          <w:tab w:leader="none" w:pos="4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Weighted-average exercise price of outstanding options, warrants and rights.</w:t>
      </w:r>
    </w:p>
    <w:p>
      <w:pPr>
        <w:spacing w:after="0" w:line="221" w:lineRule="exact"/>
        <w:rPr>
          <w:rFonts w:ascii="Arial" w:cs="Arial" w:eastAsia="Arial" w:hAnsi="Arial"/>
          <w:sz w:val="16"/>
          <w:szCs w:val="16"/>
          <w:color w:val="auto"/>
        </w:rPr>
      </w:pPr>
    </w:p>
    <w:p>
      <w:pPr>
        <w:ind w:left="465" w:hanging="465"/>
        <w:spacing w:after="0"/>
        <w:tabs>
          <w:tab w:leader="none" w:pos="4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reflected in column (a).</w:t>
      </w:r>
    </w:p>
    <w:p>
      <w:pPr>
        <w:spacing w:after="0" w:line="197"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(1) Includes the following:</w:t>
      </w:r>
    </w:p>
    <w:p>
      <w:pPr>
        <w:spacing w:after="0" w:line="197" w:lineRule="exact"/>
        <w:rPr>
          <w:rFonts w:ascii="Arial" w:cs="Arial" w:eastAsia="Arial" w:hAnsi="Arial"/>
          <w:sz w:val="16"/>
          <w:szCs w:val="16"/>
          <w:color w:val="auto"/>
        </w:rPr>
      </w:pPr>
    </w:p>
    <w:p>
      <w:pPr>
        <w:ind w:left="465" w:right="260" w:hanging="119"/>
        <w:spacing w:after="0" w:line="264" w:lineRule="auto"/>
        <w:tabs>
          <w:tab w:leader="none" w:pos="465" w:val="left"/>
        </w:tabs>
        <w:numPr>
          <w:ilvl w:val="1"/>
          <w:numId w:val="48"/>
        </w:numPr>
        <w:rPr>
          <w:rFonts w:ascii="Arial" w:cs="Arial" w:eastAsia="Arial" w:hAnsi="Arial"/>
          <w:sz w:val="16"/>
          <w:szCs w:val="16"/>
          <w:color w:val="auto"/>
        </w:rPr>
      </w:pPr>
      <w:r>
        <w:rPr>
          <w:rFonts w:ascii="Arial" w:cs="Arial" w:eastAsia="Arial" w:hAnsi="Arial"/>
          <w:sz w:val="16"/>
          <w:szCs w:val="16"/>
          <w:color w:val="auto"/>
        </w:rPr>
        <w:t>8,698,027 shares of common stock to be issued upon exercise of outstanding stock options granted under the 1998 Plan and the Non-employee Directors’ Compensation and Deferral Plan;</w:t>
      </w:r>
    </w:p>
    <w:p>
      <w:pPr>
        <w:spacing w:after="0" w:line="191" w:lineRule="exact"/>
        <w:rPr>
          <w:rFonts w:ascii="Arial" w:cs="Arial" w:eastAsia="Arial" w:hAnsi="Arial"/>
          <w:sz w:val="16"/>
          <w:szCs w:val="16"/>
          <w:color w:val="auto"/>
        </w:rPr>
      </w:pPr>
    </w:p>
    <w:p>
      <w:pPr>
        <w:ind w:left="465" w:right="260" w:hanging="119"/>
        <w:spacing w:after="0" w:line="264" w:lineRule="auto"/>
        <w:tabs>
          <w:tab w:leader="none" w:pos="465" w:val="left"/>
        </w:tabs>
        <w:numPr>
          <w:ilvl w:val="1"/>
          <w:numId w:val="48"/>
        </w:numPr>
        <w:rPr>
          <w:rFonts w:ascii="Arial" w:cs="Arial" w:eastAsia="Arial" w:hAnsi="Arial"/>
          <w:sz w:val="16"/>
          <w:szCs w:val="16"/>
          <w:color w:val="auto"/>
        </w:rPr>
      </w:pPr>
      <w:r>
        <w:rPr>
          <w:rFonts w:ascii="Arial" w:cs="Arial" w:eastAsia="Arial" w:hAnsi="Arial"/>
          <w:sz w:val="16"/>
          <w:szCs w:val="16"/>
          <w:color w:val="auto"/>
        </w:rPr>
        <w:t>Stock appreciation rights based on 1,048,881 shares of common stock granted under the 1998 Plan and the Non-employee Directors’ Compensation and Deferral Plan. Upon exercise, the stock appreciation rights will be settled in cash; and</w:t>
      </w:r>
    </w:p>
    <w:p>
      <w:pPr>
        <w:spacing w:after="0" w:line="16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84" w:name="page85"/>
    <w:bookmarkEnd w:id="84"/>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345"/>
        <w:spacing w:after="0"/>
        <w:rPr>
          <w:sz w:val="20"/>
          <w:szCs w:val="20"/>
          <w:color w:val="auto"/>
        </w:rPr>
      </w:pPr>
      <w:r>
        <w:rPr>
          <w:rFonts w:ascii="Arial" w:cs="Arial" w:eastAsia="Arial" w:hAnsi="Arial"/>
          <w:sz w:val="16"/>
          <w:szCs w:val="16"/>
          <w:color w:val="auto"/>
        </w:rPr>
        <w:t>• 2,127,947 shares of common stock to be issued upon the vesting of restricted stock units outstanding under the 1998 Plan.</w:t>
      </w:r>
    </w:p>
    <w:p>
      <w:pPr>
        <w:spacing w:after="0" w:line="222" w:lineRule="exact"/>
        <w:rPr>
          <w:sz w:val="20"/>
          <w:szCs w:val="20"/>
          <w:color w:val="auto"/>
        </w:rPr>
      </w:pPr>
    </w:p>
    <w:p>
      <w:pPr>
        <w:ind w:left="345" w:right="60"/>
        <w:spacing w:after="0" w:line="256" w:lineRule="auto"/>
        <w:rPr>
          <w:sz w:val="20"/>
          <w:szCs w:val="20"/>
          <w:color w:val="auto"/>
        </w:rPr>
      </w:pPr>
      <w:r>
        <w:rPr>
          <w:rFonts w:ascii="Arial" w:cs="Arial" w:eastAsia="Arial" w:hAnsi="Arial"/>
          <w:sz w:val="16"/>
          <w:szCs w:val="16"/>
          <w:color w:val="auto"/>
        </w:rPr>
        <w:t>Excludes 254,355 shares of common stock to be issued upon exercise of outstanding options originally granted under the five equity compensation plans adopted by Service Experts, Inc. The options have a weighted average exercise price of $27.78. The options were assumed by the Company in connection with the acquisition of Service Experts in 2000. No additional options will be granted under such plans.</w:t>
      </w:r>
    </w:p>
    <w:p>
      <w:pPr>
        <w:spacing w:after="0" w:line="175" w:lineRule="exact"/>
        <w:rPr>
          <w:sz w:val="20"/>
          <w:szCs w:val="20"/>
          <w:color w:val="auto"/>
        </w:rPr>
      </w:pPr>
    </w:p>
    <w:p>
      <w:pPr>
        <w:ind w:left="465" w:right="160" w:hanging="465"/>
        <w:spacing w:after="0" w:line="264" w:lineRule="auto"/>
        <w:tabs>
          <w:tab w:leader="none" w:pos="4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vesting, restricted stock units are settled for shares of common stock on a one-for-one basis. Accordingly, the restricted stock units have been excluded for purposes of computing the weighted-average exercise price.</w:t>
      </w:r>
    </w:p>
    <w:p>
      <w:pPr>
        <w:spacing w:after="0" w:line="191" w:lineRule="exact"/>
        <w:rPr>
          <w:rFonts w:ascii="Arial" w:cs="Arial" w:eastAsia="Arial" w:hAnsi="Arial"/>
          <w:sz w:val="16"/>
          <w:szCs w:val="16"/>
          <w:color w:val="auto"/>
        </w:rPr>
      </w:pPr>
    </w:p>
    <w:p>
      <w:pPr>
        <w:ind w:left="465" w:right="440" w:hanging="465"/>
        <w:spacing w:after="0" w:line="336" w:lineRule="auto"/>
        <w:tabs>
          <w:tab w:leader="none" w:pos="4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3,158,637 shares of common stock available for issuance under the 1998 Plan, 382,441 shares of common stock reserved for issuance under the Non-employee Directors’ Compensation and Deferral Plan and 59,502 shares of common stock reserved for issuance under the Employee Stock Purchase Plan.</w:t>
      </w:r>
    </w:p>
    <w:p>
      <w:pPr>
        <w:spacing w:after="0" w:line="145" w:lineRule="exact"/>
        <w:rPr>
          <w:rFonts w:ascii="Arial" w:cs="Arial" w:eastAsia="Arial" w:hAnsi="Arial"/>
          <w:sz w:val="14"/>
          <w:szCs w:val="14"/>
          <w:color w:val="auto"/>
        </w:rPr>
      </w:pPr>
    </w:p>
    <w:p>
      <w:pPr>
        <w:ind w:left="5" w:firstLine="282"/>
        <w:spacing w:after="0" w:line="264" w:lineRule="auto"/>
        <w:tabs>
          <w:tab w:leader="none" w:pos="5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Information regarding security ownership of certain beneficial owners, directors and executive officers is set forth in Exhibit 99.3, which information is incorporated herein by reference.</w:t>
      </w:r>
    </w:p>
    <w:p>
      <w:pPr>
        <w:spacing w:after="0" w:line="376" w:lineRule="exact"/>
        <w:rPr>
          <w:sz w:val="20"/>
          <w:szCs w:val="20"/>
          <w:color w:val="auto"/>
        </w:rPr>
      </w:pPr>
    </w:p>
    <w:p>
      <w:pPr>
        <w:ind w:left="5"/>
        <w:spacing w:after="0"/>
        <w:tabs>
          <w:tab w:leader="none" w:pos="1024"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3"/>
          <w:szCs w:val="13"/>
          <w:b w:val="1"/>
          <w:bCs w:val="1"/>
          <w:i w:val="1"/>
          <w:iCs w:val="1"/>
          <w:color w:val="auto"/>
        </w:rPr>
        <w:t>Certain Relationships and Related Transactions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Information regarding certain relationships and related transactions is set forth in Exhibit 99.2, which is attached hereto.</w:t>
      </w:r>
    </w:p>
    <w:p>
      <w:pPr>
        <w:spacing w:after="0" w:line="200" w:lineRule="exact"/>
        <w:rPr>
          <w:sz w:val="20"/>
          <w:szCs w:val="20"/>
          <w:color w:val="auto"/>
        </w:rPr>
      </w:pPr>
    </w:p>
    <w:p>
      <w:pPr>
        <w:spacing w:after="0" w:line="206" w:lineRule="exact"/>
        <w:rPr>
          <w:sz w:val="20"/>
          <w:szCs w:val="20"/>
          <w:color w:val="auto"/>
        </w:rPr>
      </w:pPr>
    </w:p>
    <w:p>
      <w:pPr>
        <w:ind w:left="5"/>
        <w:spacing w:after="0"/>
        <w:tabs>
          <w:tab w:leader="none" w:pos="1024"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3"/>
          <w:szCs w:val="13"/>
          <w:b w:val="1"/>
          <w:bCs w:val="1"/>
          <w:i w:val="1"/>
          <w:iCs w:val="1"/>
          <w:color w:val="auto"/>
        </w:rPr>
        <w:t>Principal Accounting Fees and Services</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Information regarding principal accountant fees and services is set forth in Exhibit 99.4, which is attached hereto.</w:t>
      </w:r>
    </w:p>
    <w:p>
      <w:pPr>
        <w:spacing w:after="0" w:line="192" w:lineRule="exact"/>
        <w:rPr>
          <w:sz w:val="20"/>
          <w:szCs w:val="20"/>
          <w:color w:val="auto"/>
        </w:rPr>
      </w:pPr>
    </w:p>
    <w:p>
      <w:pPr>
        <w:jc w:val="center"/>
        <w:ind w:right="-84"/>
        <w:spacing w:after="0"/>
        <w:rPr>
          <w:sz w:val="20"/>
          <w:szCs w:val="20"/>
          <w:color w:val="auto"/>
        </w:rPr>
      </w:pPr>
      <w:r>
        <w:rPr>
          <w:rFonts w:ascii="Arial" w:cs="Arial" w:eastAsia="Arial" w:hAnsi="Arial"/>
          <w:sz w:val="16"/>
          <w:szCs w:val="16"/>
          <w:b w:val="1"/>
          <w:bCs w:val="1"/>
          <w:color w:val="auto"/>
        </w:rPr>
        <w:t>PART IV</w:t>
      </w:r>
    </w:p>
    <w:p>
      <w:pPr>
        <w:spacing w:after="0" w:line="200" w:lineRule="exact"/>
        <w:rPr>
          <w:sz w:val="20"/>
          <w:szCs w:val="20"/>
          <w:color w:val="auto"/>
        </w:rPr>
      </w:pPr>
    </w:p>
    <w:p>
      <w:pPr>
        <w:spacing w:after="0" w:line="212" w:lineRule="exact"/>
        <w:rPr>
          <w:sz w:val="20"/>
          <w:szCs w:val="20"/>
          <w:color w:val="auto"/>
        </w:rPr>
      </w:pPr>
    </w:p>
    <w:p>
      <w:pPr>
        <w:ind w:left="5"/>
        <w:spacing w:after="0"/>
        <w:tabs>
          <w:tab w:leader="none" w:pos="1024"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3"/>
          <w:szCs w:val="13"/>
          <w:b w:val="1"/>
          <w:bCs w:val="1"/>
          <w:i w:val="1"/>
          <w:iCs w:val="1"/>
          <w:color w:val="auto"/>
        </w:rPr>
        <w:t>Exhibits, Financial Statement Schedules, and Reports on Form 8-K</w:t>
      </w:r>
    </w:p>
    <w:p>
      <w:pPr>
        <w:spacing w:after="0" w:line="228" w:lineRule="exact"/>
        <w:rPr>
          <w:sz w:val="20"/>
          <w:szCs w:val="20"/>
          <w:color w:val="auto"/>
        </w:rPr>
      </w:pPr>
    </w:p>
    <w:p>
      <w:pPr>
        <w:ind w:left="285"/>
        <w:spacing w:after="0"/>
        <w:rPr>
          <w:sz w:val="20"/>
          <w:szCs w:val="20"/>
          <w:color w:val="auto"/>
        </w:rPr>
      </w:pPr>
      <w:r>
        <w:rPr>
          <w:rFonts w:ascii="Arial" w:cs="Arial" w:eastAsia="Arial" w:hAnsi="Arial"/>
          <w:sz w:val="16"/>
          <w:szCs w:val="16"/>
          <w:color w:val="auto"/>
        </w:rPr>
        <w:t>(a) Financial Statements, Financial Statement Schedules and Exhibits</w:t>
      </w:r>
    </w:p>
    <w:p>
      <w:pPr>
        <w:spacing w:after="0" w:line="222" w:lineRule="exact"/>
        <w:rPr>
          <w:sz w:val="20"/>
          <w:szCs w:val="20"/>
          <w:color w:val="auto"/>
        </w:rPr>
      </w:pPr>
    </w:p>
    <w:p>
      <w:pPr>
        <w:ind w:left="525" w:right="2440" w:firstLine="107"/>
        <w:spacing w:after="0" w:line="528" w:lineRule="auto"/>
        <w:tabs>
          <w:tab w:leader="none" w:pos="8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following financial statements of Lennox International Inc. and subsidiaries are included in Part II, Item 8 of this Form 10-K: Report of Independent Public Accountants</w:t>
      </w:r>
    </w:p>
    <w:p>
      <w:pPr>
        <w:spacing w:after="0" w:line="1" w:lineRule="exact"/>
        <w:rPr>
          <w:sz w:val="20"/>
          <w:szCs w:val="20"/>
          <w:color w:val="auto"/>
        </w:rPr>
      </w:pPr>
    </w:p>
    <w:p>
      <w:pPr>
        <w:ind w:left="525"/>
        <w:spacing w:after="0"/>
        <w:rPr>
          <w:sz w:val="20"/>
          <w:szCs w:val="20"/>
          <w:color w:val="auto"/>
        </w:rPr>
      </w:pPr>
      <w:r>
        <w:rPr>
          <w:rFonts w:ascii="Arial" w:cs="Arial" w:eastAsia="Arial" w:hAnsi="Arial"/>
          <w:sz w:val="16"/>
          <w:szCs w:val="16"/>
          <w:color w:val="auto"/>
        </w:rPr>
        <w:t>Consolidated Balance Sheets as of December 31, 2003 and 2002</w:t>
      </w:r>
    </w:p>
    <w:p>
      <w:pPr>
        <w:spacing w:after="0" w:line="31" w:lineRule="exact"/>
        <w:rPr>
          <w:sz w:val="20"/>
          <w:szCs w:val="20"/>
          <w:color w:val="auto"/>
        </w:rPr>
      </w:pPr>
    </w:p>
    <w:p>
      <w:pPr>
        <w:ind w:left="525"/>
        <w:spacing w:after="0"/>
        <w:rPr>
          <w:sz w:val="20"/>
          <w:szCs w:val="20"/>
          <w:color w:val="auto"/>
        </w:rPr>
      </w:pPr>
      <w:r>
        <w:rPr>
          <w:rFonts w:ascii="Arial" w:cs="Arial" w:eastAsia="Arial" w:hAnsi="Arial"/>
          <w:sz w:val="16"/>
          <w:szCs w:val="16"/>
          <w:color w:val="auto"/>
        </w:rPr>
        <w:t>Consolidated Statements of Operations for the Years Ended December 31, 2003, 2002 and 2001</w:t>
      </w:r>
    </w:p>
    <w:p>
      <w:pPr>
        <w:spacing w:after="0" w:line="31" w:lineRule="exact"/>
        <w:rPr>
          <w:sz w:val="20"/>
          <w:szCs w:val="20"/>
          <w:color w:val="auto"/>
        </w:rPr>
      </w:pPr>
    </w:p>
    <w:p>
      <w:pPr>
        <w:ind w:left="525"/>
        <w:spacing w:after="0"/>
        <w:rPr>
          <w:sz w:val="20"/>
          <w:szCs w:val="20"/>
          <w:color w:val="auto"/>
        </w:rPr>
      </w:pPr>
      <w:r>
        <w:rPr>
          <w:rFonts w:ascii="Arial" w:cs="Arial" w:eastAsia="Arial" w:hAnsi="Arial"/>
          <w:sz w:val="16"/>
          <w:szCs w:val="16"/>
          <w:color w:val="auto"/>
        </w:rPr>
        <w:t>Consolidated Statements of Stockholders’ Equity for the Years Ended December 31, 2003, 2002 and 2001</w:t>
      </w:r>
    </w:p>
    <w:p>
      <w:pPr>
        <w:spacing w:after="0" w:line="31" w:lineRule="exact"/>
        <w:rPr>
          <w:sz w:val="20"/>
          <w:szCs w:val="20"/>
          <w:color w:val="auto"/>
        </w:rPr>
      </w:pPr>
    </w:p>
    <w:p>
      <w:pPr>
        <w:ind w:left="525"/>
        <w:spacing w:after="0"/>
        <w:rPr>
          <w:sz w:val="20"/>
          <w:szCs w:val="20"/>
          <w:color w:val="auto"/>
        </w:rPr>
      </w:pPr>
      <w:r>
        <w:rPr>
          <w:rFonts w:ascii="Arial" w:cs="Arial" w:eastAsia="Arial" w:hAnsi="Arial"/>
          <w:sz w:val="16"/>
          <w:szCs w:val="16"/>
          <w:color w:val="auto"/>
        </w:rPr>
        <w:t>Consolidated Statements of Cash Flows for the Years Ended December 31, 2003, 2002 and 2001</w:t>
      </w:r>
    </w:p>
    <w:p>
      <w:pPr>
        <w:spacing w:after="0" w:line="31" w:lineRule="exact"/>
        <w:rPr>
          <w:sz w:val="20"/>
          <w:szCs w:val="20"/>
          <w:color w:val="auto"/>
        </w:rPr>
      </w:pPr>
    </w:p>
    <w:p>
      <w:pPr>
        <w:ind w:left="525"/>
        <w:spacing w:after="0"/>
        <w:rPr>
          <w:sz w:val="20"/>
          <w:szCs w:val="20"/>
          <w:color w:val="auto"/>
        </w:rPr>
      </w:pPr>
      <w:r>
        <w:rPr>
          <w:rFonts w:ascii="Arial" w:cs="Arial" w:eastAsia="Arial" w:hAnsi="Arial"/>
          <w:sz w:val="16"/>
          <w:szCs w:val="16"/>
          <w:color w:val="auto"/>
        </w:rPr>
        <w:t>Notes to Consolidated Financial Statements for the Years Ended December 31, 2003, 2002 and 2001</w:t>
      </w:r>
    </w:p>
    <w:p>
      <w:pPr>
        <w:spacing w:after="0" w:line="222" w:lineRule="exact"/>
        <w:rPr>
          <w:sz w:val="20"/>
          <w:szCs w:val="20"/>
          <w:color w:val="auto"/>
        </w:rPr>
      </w:pPr>
    </w:p>
    <w:p>
      <w:pPr>
        <w:ind w:left="625"/>
        <w:spacing w:after="0"/>
        <w:rPr>
          <w:sz w:val="20"/>
          <w:szCs w:val="20"/>
          <w:color w:val="auto"/>
        </w:rPr>
      </w:pPr>
      <w:r>
        <w:rPr>
          <w:rFonts w:ascii="Arial" w:cs="Arial" w:eastAsia="Arial" w:hAnsi="Arial"/>
          <w:sz w:val="16"/>
          <w:szCs w:val="16"/>
          <w:color w:val="auto"/>
        </w:rPr>
        <w:t>(2) The following financial statement schedule for Lennox International Inc. and subsidiaries is included herein:</w:t>
      </w:r>
    </w:p>
    <w:p>
      <w:pPr>
        <w:spacing w:after="0" w:line="198" w:lineRule="exact"/>
        <w:rPr>
          <w:sz w:val="20"/>
          <w:szCs w:val="20"/>
          <w:color w:val="auto"/>
        </w:rPr>
      </w:pPr>
    </w:p>
    <w:p>
      <w:pPr>
        <w:ind w:left="685"/>
        <w:spacing w:after="0"/>
        <w:rPr>
          <w:sz w:val="20"/>
          <w:szCs w:val="20"/>
          <w:color w:val="auto"/>
        </w:rPr>
      </w:pPr>
      <w:r>
        <w:rPr>
          <w:rFonts w:ascii="Arial" w:cs="Arial" w:eastAsia="Arial" w:hAnsi="Arial"/>
          <w:sz w:val="16"/>
          <w:szCs w:val="16"/>
          <w:color w:val="auto"/>
        </w:rPr>
        <w:t>Report of Independent Public Accountants on Financial Statement Schedule (pages 33 and 85 of Form 10-K)</w:t>
      </w:r>
    </w:p>
    <w:p>
      <w:pPr>
        <w:spacing w:after="0" w:line="12" w:lineRule="exact"/>
        <w:rPr>
          <w:sz w:val="20"/>
          <w:szCs w:val="20"/>
          <w:color w:val="auto"/>
        </w:rPr>
      </w:pPr>
    </w:p>
    <w:p>
      <w:pPr>
        <w:ind w:left="685"/>
        <w:spacing w:after="0"/>
        <w:rPr>
          <w:sz w:val="20"/>
          <w:szCs w:val="20"/>
          <w:color w:val="auto"/>
        </w:rPr>
      </w:pPr>
      <w:r>
        <w:rPr>
          <w:rFonts w:ascii="Arial" w:cs="Arial" w:eastAsia="Arial" w:hAnsi="Arial"/>
          <w:sz w:val="16"/>
          <w:szCs w:val="16"/>
          <w:color w:val="auto"/>
        </w:rPr>
        <w:t>Schedule II — Valuation and Qualifying Accounts and Reserves (page 86 of Form 10-K)</w:t>
      </w:r>
    </w:p>
    <w:p>
      <w:pPr>
        <w:spacing w:after="0" w:line="216" w:lineRule="exact"/>
        <w:rPr>
          <w:sz w:val="20"/>
          <w:szCs w:val="20"/>
          <w:color w:val="auto"/>
        </w:rPr>
      </w:pPr>
    </w:p>
    <w:p>
      <w:pPr>
        <w:ind w:left="625"/>
        <w:spacing w:after="0"/>
        <w:rPr>
          <w:sz w:val="20"/>
          <w:szCs w:val="20"/>
          <w:color w:val="auto"/>
        </w:rPr>
      </w:pPr>
      <w:r>
        <w:rPr>
          <w:rFonts w:ascii="Arial" w:cs="Arial" w:eastAsia="Arial" w:hAnsi="Arial"/>
          <w:sz w:val="16"/>
          <w:szCs w:val="16"/>
          <w:color w:val="auto"/>
        </w:rPr>
        <w:t>(3) Exhibits:</w:t>
      </w:r>
    </w:p>
    <w:p>
      <w:pPr>
        <w:spacing w:after="0" w:line="222" w:lineRule="exact"/>
        <w:rPr>
          <w:sz w:val="20"/>
          <w:szCs w:val="20"/>
          <w:color w:val="auto"/>
        </w:rPr>
      </w:pPr>
    </w:p>
    <w:p>
      <w:pPr>
        <w:ind w:left="985"/>
        <w:spacing w:after="0"/>
        <w:rPr>
          <w:sz w:val="20"/>
          <w:szCs w:val="20"/>
          <w:color w:val="auto"/>
        </w:rPr>
      </w:pPr>
      <w:r>
        <w:rPr>
          <w:rFonts w:ascii="Arial" w:cs="Arial" w:eastAsia="Arial" w:hAnsi="Arial"/>
          <w:sz w:val="14"/>
          <w:szCs w:val="14"/>
          <w:color w:val="auto"/>
        </w:rPr>
        <w:t>The exhibits listed in the accompanying Index to Exhibits on pages 87 through 90 of this Form 10-K are filed or incorporated by reference as part of this Form 10-K.</w:t>
      </w:r>
    </w:p>
    <w:p>
      <w:pPr>
        <w:spacing w:after="0" w:line="221" w:lineRule="exact"/>
        <w:rPr>
          <w:sz w:val="20"/>
          <w:szCs w:val="20"/>
          <w:color w:val="auto"/>
        </w:rPr>
      </w:pPr>
    </w:p>
    <w:p>
      <w:pPr>
        <w:jc w:val="center"/>
        <w:ind w:right="-84"/>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45"/>
          </w:cols>
          <w:pgMar w:left="235" w:top="386" w:right="31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 Reports on Form 8-K:</w:t>
      </w:r>
    </w:p>
    <w:p>
      <w:pPr>
        <w:spacing w:after="0" w:line="222" w:lineRule="exact"/>
        <w:rPr>
          <w:sz w:val="20"/>
          <w:szCs w:val="20"/>
          <w:color w:val="auto"/>
        </w:rPr>
      </w:pPr>
    </w:p>
    <w:p>
      <w:pPr>
        <w:ind w:left="340" w:firstLine="286"/>
        <w:spacing w:after="0" w:line="336" w:lineRule="auto"/>
        <w:rPr>
          <w:sz w:val="20"/>
          <w:szCs w:val="20"/>
          <w:color w:val="auto"/>
        </w:rPr>
      </w:pPr>
      <w:r>
        <w:rPr>
          <w:rFonts w:ascii="Arial" w:cs="Arial" w:eastAsia="Arial" w:hAnsi="Arial"/>
          <w:sz w:val="14"/>
          <w:szCs w:val="14"/>
          <w:color w:val="auto"/>
        </w:rPr>
        <w:t>During the three-month period ending December 31, 2003, the Company filed or furnished one Current Report on Form 8-K dated October 21, 2003 reporting under Item 12 — Results of Operations and Financial Condition a press release reporting the Company’s financial results for the quarter ended September 30, 2003.</w:t>
      </w:r>
    </w:p>
    <w:p>
      <w:pPr>
        <w:spacing w:after="0" w:line="1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840"/>
          </w:cols>
          <w:pgMar w:left="240" w:top="386" w:right="81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right="60" w:firstLine="286"/>
        <w:spacing w:after="0" w:line="26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LENNOX INTERNATIONAL INC.</w:t>
      </w: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By: /s/ ROBERT E. SCHJERVEN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84455</wp:posOffset>
            </wp:positionV>
            <wp:extent cx="435483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354830" cy="7620"/>
                    </a:xfrm>
                    <a:prstGeom prst="rect">
                      <a:avLst/>
                    </a:prstGeom>
                    <a:noFill/>
                  </pic:spPr>
                </pic:pic>
              </a:graphicData>
            </a:graphic>
          </wp:anchor>
        </w:drawing>
      </w:r>
    </w:p>
    <w:p>
      <w:pPr>
        <w:spacing w:after="0" w:line="225"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Robert E. Schjerven</w:t>
      </w:r>
    </w:p>
    <w:p>
      <w:pPr>
        <w:spacing w:after="0" w:line="31" w:lineRule="exact"/>
        <w:rPr>
          <w:sz w:val="20"/>
          <w:szCs w:val="20"/>
          <w:color w:val="auto"/>
        </w:rPr>
      </w:pPr>
    </w:p>
    <w:p>
      <w:pPr>
        <w:jc w:val="center"/>
        <w:ind w:left="4580"/>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October 18, 2004</w:t>
      </w:r>
    </w:p>
    <w:p>
      <w:pPr>
        <w:spacing w:after="0" w:line="222" w:lineRule="exact"/>
        <w:rPr>
          <w:sz w:val="20"/>
          <w:szCs w:val="20"/>
          <w:color w:val="auto"/>
        </w:rPr>
      </w:pPr>
    </w:p>
    <w:p>
      <w:pPr>
        <w:ind w:right="40" w:firstLine="286"/>
        <w:spacing w:after="0" w:line="26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355" w:lineRule="exact"/>
        <w:rPr>
          <w:sz w:val="20"/>
          <w:szCs w:val="20"/>
          <w:color w:val="auto"/>
        </w:rPr>
      </w:pPr>
    </w:p>
    <w:p>
      <w:pPr>
        <w:ind w:left="2620"/>
        <w:spacing w:after="0"/>
        <w:tabs>
          <w:tab w:leader="none" w:pos="7600" w:val="left"/>
          <w:tab w:leader="none" w:pos="1044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6249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2495" cy="762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89"/>
              </w:rPr>
              <w:t>/s/ ROBERT E. SCHJERVEN</w:t>
            </w:r>
          </w:p>
        </w:tc>
        <w:tc>
          <w:tcPr>
            <w:tcW w:w="1000" w:type="dxa"/>
            <w:vAlign w:val="bottom"/>
          </w:tcPr>
          <w:p>
            <w:pPr>
              <w:spacing w:after="0"/>
              <w:rPr>
                <w:sz w:val="16"/>
                <w:szCs w:val="16"/>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Chief Executive Officer and Director (Principal</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91"/>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vMerge w:val="restart"/>
          </w:tcPr>
          <w:p>
            <w:pPr>
              <w:ind w:left="460"/>
              <w:spacing w:after="0"/>
              <w:rPr>
                <w:sz w:val="20"/>
                <w:szCs w:val="20"/>
                <w:color w:val="auto"/>
              </w:rPr>
            </w:pPr>
            <w:r>
              <w:rPr>
                <w:rFonts w:ascii="Arial" w:cs="Arial" w:eastAsia="Arial" w:hAnsi="Arial"/>
                <w:sz w:val="16"/>
                <w:szCs w:val="16"/>
                <w:color w:val="auto"/>
              </w:rPr>
              <w:t>Executive Officer)</w:t>
            </w: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720" w:type="dxa"/>
            <w:vAlign w:val="bottom"/>
            <w:vMerge w:val="restart"/>
          </w:tcPr>
          <w:p>
            <w:pPr>
              <w:jc w:val="center"/>
              <w:ind w:left="922"/>
              <w:spacing w:after="0"/>
              <w:rPr>
                <w:sz w:val="20"/>
                <w:szCs w:val="20"/>
                <w:color w:val="auto"/>
              </w:rPr>
            </w:pPr>
            <w:r>
              <w:rPr>
                <w:rFonts w:ascii="Arial" w:cs="Arial" w:eastAsia="Arial" w:hAnsi="Arial"/>
                <w:sz w:val="16"/>
                <w:szCs w:val="16"/>
                <w:color w:val="auto"/>
                <w:w w:val="86"/>
              </w:rPr>
              <w:t>Robert E. Schjerven</w:t>
            </w:r>
          </w:p>
        </w:tc>
        <w:tc>
          <w:tcPr>
            <w:tcW w:w="100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1"/>
              </w:rPr>
              <w:t>/s/ SUSAN K. CARTER</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w w:val="93"/>
              </w:rPr>
              <w:t>Executive Vice President, Chief Financial Office and</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91"/>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vMerge w:val="restart"/>
          </w:tcPr>
          <w:p>
            <w:pPr>
              <w:ind w:left="460"/>
              <w:spacing w:after="0"/>
              <w:rPr>
                <w:sz w:val="20"/>
                <w:szCs w:val="20"/>
                <w:color w:val="auto"/>
              </w:rPr>
            </w:pPr>
            <w:r>
              <w:rPr>
                <w:rFonts w:ascii="Arial" w:cs="Arial" w:eastAsia="Arial" w:hAnsi="Arial"/>
                <w:sz w:val="16"/>
                <w:szCs w:val="16"/>
                <w:color w:val="auto"/>
              </w:rPr>
              <w:t>Treasurer (Principal Financial Officer)</w:t>
            </w: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720" w:type="dxa"/>
            <w:vAlign w:val="bottom"/>
            <w:vMerge w:val="restart"/>
          </w:tcPr>
          <w:p>
            <w:pPr>
              <w:jc w:val="center"/>
              <w:ind w:left="922"/>
              <w:spacing w:after="0"/>
              <w:rPr>
                <w:sz w:val="20"/>
                <w:szCs w:val="20"/>
                <w:color w:val="auto"/>
              </w:rPr>
            </w:pPr>
            <w:r>
              <w:rPr>
                <w:rFonts w:ascii="Arial" w:cs="Arial" w:eastAsia="Arial" w:hAnsi="Arial"/>
                <w:sz w:val="16"/>
                <w:szCs w:val="16"/>
                <w:color w:val="auto"/>
                <w:w w:val="87"/>
              </w:rPr>
              <w:t>Susan K. Carter</w:t>
            </w:r>
          </w:p>
        </w:tc>
        <w:tc>
          <w:tcPr>
            <w:tcW w:w="100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7"/>
              </w:rPr>
              <w:t>/s/ DAVID L. INMAN</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Vice President, Controller and Chief Accounting</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91"/>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vMerge w:val="restart"/>
          </w:tcPr>
          <w:p>
            <w:pPr>
              <w:ind w:left="460"/>
              <w:spacing w:after="0"/>
              <w:rPr>
                <w:sz w:val="20"/>
                <w:szCs w:val="20"/>
                <w:color w:val="auto"/>
              </w:rPr>
            </w:pPr>
            <w:r>
              <w:rPr>
                <w:rFonts w:ascii="Arial" w:cs="Arial" w:eastAsia="Arial" w:hAnsi="Arial"/>
                <w:sz w:val="16"/>
                <w:szCs w:val="16"/>
                <w:color w:val="auto"/>
              </w:rPr>
              <w:t>Officer (Principal Accounting Officer)</w:t>
            </w: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720" w:type="dxa"/>
            <w:vAlign w:val="bottom"/>
            <w:vMerge w:val="restart"/>
          </w:tcPr>
          <w:p>
            <w:pPr>
              <w:jc w:val="center"/>
              <w:ind w:left="922"/>
              <w:spacing w:after="0"/>
              <w:rPr>
                <w:sz w:val="20"/>
                <w:szCs w:val="20"/>
                <w:color w:val="auto"/>
              </w:rPr>
            </w:pPr>
            <w:r>
              <w:rPr>
                <w:rFonts w:ascii="Arial" w:cs="Arial" w:eastAsia="Arial" w:hAnsi="Arial"/>
                <w:sz w:val="16"/>
                <w:szCs w:val="16"/>
                <w:color w:val="auto"/>
                <w:w w:val="92"/>
              </w:rPr>
              <w:t>David L. Inman</w:t>
            </w:r>
          </w:p>
        </w:tc>
        <w:tc>
          <w:tcPr>
            <w:tcW w:w="100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89"/>
              </w:rPr>
              <w:t>/s/ JOHN W. NORRIS, JR.</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Chairman of the Board of Directors</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85"/>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87"/>
              </w:rPr>
              <w:t>John W. Norris, Jr.</w:t>
            </w:r>
          </w:p>
        </w:tc>
        <w:tc>
          <w:tcPr>
            <w:tcW w:w="1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4"/>
              </w:rPr>
              <w:t>/s/ LINDA G. ALVARADO</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85"/>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0"/>
              </w:rPr>
              <w:t>Linda G. Alvarado</w:t>
            </w:r>
          </w:p>
        </w:tc>
        <w:tc>
          <w:tcPr>
            <w:tcW w:w="1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0"/>
              </w:rPr>
              <w:t>/s/ STEVEN R. BOOTH</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85"/>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720" w:type="dxa"/>
            <w:vAlign w:val="bottom"/>
          </w:tcPr>
          <w:p>
            <w:pPr>
              <w:jc w:val="center"/>
              <w:ind w:left="902"/>
              <w:spacing w:after="0"/>
              <w:rPr>
                <w:sz w:val="20"/>
                <w:szCs w:val="20"/>
                <w:color w:val="auto"/>
              </w:rPr>
            </w:pPr>
            <w:r>
              <w:rPr>
                <w:rFonts w:ascii="Arial" w:cs="Arial" w:eastAsia="Arial" w:hAnsi="Arial"/>
                <w:sz w:val="16"/>
                <w:szCs w:val="16"/>
                <w:color w:val="auto"/>
                <w:w w:val="87"/>
              </w:rPr>
              <w:t>Steven R. Booth</w:t>
            </w:r>
          </w:p>
        </w:tc>
        <w:tc>
          <w:tcPr>
            <w:tcW w:w="1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720" w:type="dxa"/>
            <w:vAlign w:val="bottom"/>
          </w:tcPr>
          <w:p>
            <w:pPr>
              <w:jc w:val="center"/>
              <w:ind w:left="902"/>
              <w:spacing w:after="0"/>
              <w:rPr>
                <w:sz w:val="20"/>
                <w:szCs w:val="20"/>
                <w:color w:val="auto"/>
              </w:rPr>
            </w:pPr>
            <w:r>
              <w:rPr>
                <w:rFonts w:ascii="Arial" w:cs="Arial" w:eastAsia="Arial" w:hAnsi="Arial"/>
                <w:sz w:val="16"/>
                <w:szCs w:val="16"/>
                <w:color w:val="auto"/>
                <w:w w:val="92"/>
              </w:rPr>
              <w:t>/s/ THOMAS W. BOOTH</w:t>
            </w: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Director</w:t>
            </w:r>
          </w:p>
        </w:tc>
        <w:tc>
          <w:tcPr>
            <w:tcW w:w="1900" w:type="dxa"/>
            <w:vAlign w:val="bottom"/>
          </w:tcPr>
          <w:p>
            <w:pPr>
              <w:ind w:left="180"/>
              <w:spacing w:after="0"/>
              <w:rPr>
                <w:sz w:val="20"/>
                <w:szCs w:val="20"/>
                <w:color w:val="auto"/>
              </w:rPr>
            </w:pPr>
            <w:r>
              <w:rPr>
                <w:rFonts w:ascii="Arial" w:cs="Arial" w:eastAsia="Arial" w:hAnsi="Arial"/>
                <w:sz w:val="16"/>
                <w:szCs w:val="16"/>
                <w:color w:val="auto"/>
              </w:rPr>
              <w:t>October 18, 2004</w:t>
            </w:r>
          </w:p>
        </w:tc>
        <w:tc>
          <w:tcPr>
            <w:tcW w:w="0" w:type="dxa"/>
            <w:vAlign w:val="bottom"/>
          </w:tcPr>
          <w:p>
            <w:pPr>
              <w:spacing w:after="0"/>
              <w:rPr>
                <w:sz w:val="1"/>
                <w:szCs w:val="1"/>
                <w:color w:val="auto"/>
              </w:rPr>
            </w:pPr>
          </w:p>
        </w:tc>
      </w:tr>
      <w:tr>
        <w:trPr>
          <w:trHeight w:val="85"/>
        </w:trPr>
        <w:tc>
          <w:tcPr>
            <w:tcW w:w="47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8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87"/>
              </w:rPr>
              <w:t>Thomas W. Booth</w:t>
            </w:r>
          </w:p>
        </w:tc>
        <w:tc>
          <w:tcPr>
            <w:tcW w:w="1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20" w:type="dxa"/>
            <w:vAlign w:val="bottom"/>
          </w:tcPr>
          <w:p>
            <w:pPr>
              <w:ind w:left="340"/>
              <w:spacing w:after="0"/>
              <w:rPr>
                <w:sz w:val="20"/>
                <w:szCs w:val="20"/>
                <w:color w:val="auto"/>
              </w:rPr>
            </w:pPr>
            <w:r>
              <w:rPr>
                <w:rFonts w:ascii="Arial" w:cs="Arial" w:eastAsia="Arial" w:hAnsi="Arial"/>
                <w:sz w:val="16"/>
                <w:szCs w:val="16"/>
                <w:color w:val="auto"/>
              </w:rPr>
              <w:t>Director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720" w:type="dxa"/>
            <w:vAlign w:val="bottom"/>
          </w:tcPr>
          <w:p>
            <w:pPr>
              <w:jc w:val="center"/>
              <w:ind w:left="922"/>
              <w:spacing w:after="0"/>
              <w:rPr>
                <w:sz w:val="20"/>
                <w:szCs w:val="20"/>
                <w:color w:val="auto"/>
              </w:rPr>
            </w:pPr>
            <w:r>
              <w:rPr>
                <w:rFonts w:ascii="Arial" w:cs="Arial" w:eastAsia="Arial" w:hAnsi="Arial"/>
                <w:sz w:val="16"/>
                <w:szCs w:val="16"/>
                <w:color w:val="auto"/>
                <w:w w:val="90"/>
              </w:rPr>
              <w:t>David V. Brown</w:t>
            </w:r>
          </w:p>
        </w:tc>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720" w:type="dxa"/>
            <w:vAlign w:val="bottom"/>
          </w:tcPr>
          <w:p>
            <w:pPr>
              <w:spacing w:after="0"/>
              <w:rPr>
                <w:sz w:val="24"/>
                <w:szCs w:val="24"/>
                <w:color w:val="auto"/>
              </w:rPr>
            </w:pPr>
          </w:p>
        </w:tc>
        <w:tc>
          <w:tcPr>
            <w:tcW w:w="4820" w:type="dxa"/>
            <w:vAlign w:val="bottom"/>
            <w:gridSpan w:val="2"/>
          </w:tcPr>
          <w:p>
            <w:pPr>
              <w:jc w:val="right"/>
              <w:ind w:right="3662"/>
              <w:spacing w:after="0"/>
              <w:rPr>
                <w:sz w:val="20"/>
                <w:szCs w:val="20"/>
                <w:color w:val="auto"/>
              </w:rPr>
            </w:pPr>
            <w:r>
              <w:rPr>
                <w:rFonts w:ascii="Arial" w:cs="Arial" w:eastAsia="Arial" w:hAnsi="Arial"/>
                <w:sz w:val="16"/>
                <w:szCs w:val="16"/>
                <w:color w:val="auto"/>
              </w:rPr>
              <w:t>83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3820" w:type="dxa"/>
            <w:vAlign w:val="bottom"/>
            <w:tcBorders>
              <w:bottom w:val="single" w:sz="8" w:color="808080"/>
            </w:tcBorders>
          </w:tcPr>
          <w:p>
            <w:pPr>
              <w:spacing w:after="0"/>
              <w:rPr>
                <w:sz w:val="17"/>
                <w:szCs w:val="17"/>
                <w:color w:val="auto"/>
              </w:rPr>
            </w:pPr>
          </w:p>
        </w:tc>
        <w:tc>
          <w:tcPr>
            <w:tcW w:w="19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40" w:type="dxa"/>
            <w:vAlign w:val="bottom"/>
          </w:tcPr>
          <w:p>
            <w:pPr>
              <w:jc w:val="center"/>
              <w:ind w:left="904"/>
              <w:spacing w:after="0"/>
              <w:rPr>
                <w:sz w:val="20"/>
                <w:szCs w:val="20"/>
                <w:color w:val="auto"/>
              </w:rPr>
            </w:pPr>
            <w:r>
              <w:rPr>
                <w:rFonts w:ascii="Arial" w:cs="Arial" w:eastAsia="Arial" w:hAnsi="Arial"/>
                <w:sz w:val="12"/>
                <w:szCs w:val="12"/>
                <w:b w:val="1"/>
                <w:bCs w:val="1"/>
                <w:color w:val="auto"/>
                <w:w w:val="86"/>
              </w:rPr>
              <w:t>Signature</w:t>
            </w: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40" w:type="dxa"/>
            <w:vAlign w:val="bottom"/>
          </w:tcPr>
          <w:p>
            <w:pPr>
              <w:ind w:left="156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1720" w:type="dxa"/>
            <w:vAlign w:val="bottom"/>
          </w:tcPr>
          <w:p>
            <w:pPr>
              <w:ind w:left="740"/>
              <w:spacing w:after="0"/>
              <w:rPr>
                <w:sz w:val="20"/>
                <w:szCs w:val="20"/>
                <w:color w:val="auto"/>
              </w:rPr>
            </w:pPr>
            <w:r>
              <w:rPr>
                <w:rFonts w:ascii="Arial" w:cs="Arial" w:eastAsia="Arial" w:hAnsi="Arial"/>
                <w:sz w:val="12"/>
                <w:szCs w:val="12"/>
                <w:b w:val="1"/>
                <w:bCs w:val="1"/>
                <w:color w:val="auto"/>
              </w:rPr>
              <w:t>Date</w:t>
            </w:r>
          </w:p>
        </w:tc>
      </w:tr>
      <w:tr>
        <w:trPr>
          <w:trHeight w:val="83"/>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r>
      <w:tr>
        <w:trPr>
          <w:trHeight w:val="276"/>
        </w:trPr>
        <w:tc>
          <w:tcPr>
            <w:tcW w:w="4740" w:type="dxa"/>
            <w:vAlign w:val="bottom"/>
          </w:tcPr>
          <w:p>
            <w:pPr>
              <w:jc w:val="center"/>
              <w:ind w:left="884"/>
              <w:spacing w:after="0"/>
              <w:rPr>
                <w:sz w:val="20"/>
                <w:szCs w:val="20"/>
                <w:color w:val="auto"/>
              </w:rPr>
            </w:pPr>
            <w:r>
              <w:rPr>
                <w:rFonts w:ascii="Arial" w:cs="Arial" w:eastAsia="Arial" w:hAnsi="Arial"/>
                <w:sz w:val="16"/>
                <w:szCs w:val="16"/>
                <w:color w:val="auto"/>
                <w:w w:val="91"/>
              </w:rPr>
              <w:t>/s/ JAMES J. BYRNE</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83"/>
              </w:rPr>
              <w:t>James J. Byrne</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884"/>
              <w:spacing w:after="0"/>
              <w:rPr>
                <w:sz w:val="20"/>
                <w:szCs w:val="20"/>
                <w:color w:val="auto"/>
              </w:rPr>
            </w:pPr>
            <w:r>
              <w:rPr>
                <w:rFonts w:ascii="Arial" w:cs="Arial" w:eastAsia="Arial" w:hAnsi="Arial"/>
                <w:sz w:val="16"/>
                <w:szCs w:val="16"/>
                <w:color w:val="auto"/>
                <w:w w:val="90"/>
              </w:rPr>
              <w:t>/s/ JANET K. COOPER</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86"/>
              </w:rPr>
              <w:t>Janet K. Cooper</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1"/>
              </w:rPr>
              <w:t>/s/ C.L. (JERRY) HENRY</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1"/>
              </w:rPr>
              <w:t>C.L. (Jerry) Henry</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1"/>
              </w:rPr>
              <w:t>/s/ JOHN E. MAJOR</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89"/>
              </w:rPr>
              <w:t>John E. Major</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2"/>
              </w:rPr>
              <w:t>/s/ JOHN W. NORRIS III</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0"/>
              </w:rPr>
              <w:t>John W. Norris III</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4"/>
              </w:rPr>
              <w:t>/s/ WALDEN W. O’DELL</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1"/>
              </w:rPr>
              <w:t>Walden W. O’Dell</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0"/>
              </w:rPr>
              <w:t>/s/ TERRY D. STINSON</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89"/>
              </w:rPr>
              <w:t>Terry D. Stinson</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93"/>
              </w:rPr>
              <w:t>/s/ RICHARD L. THOMPSON</w:t>
            </w:r>
          </w:p>
        </w:tc>
        <w:tc>
          <w:tcPr>
            <w:tcW w:w="98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Arial" w:cs="Arial" w:eastAsia="Arial" w:hAnsi="Arial"/>
                <w:sz w:val="16"/>
                <w:szCs w:val="16"/>
                <w:color w:val="auto"/>
              </w:rPr>
              <w:t>Director</w:t>
            </w:r>
          </w:p>
        </w:tc>
        <w:tc>
          <w:tcPr>
            <w:tcW w:w="3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October 18, 2004</w:t>
            </w:r>
          </w:p>
        </w:tc>
      </w:tr>
      <w:tr>
        <w:trPr>
          <w:trHeight w:val="85"/>
        </w:trPr>
        <w:tc>
          <w:tcPr>
            <w:tcW w:w="47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53"/>
        </w:trPr>
        <w:tc>
          <w:tcPr>
            <w:tcW w:w="4740" w:type="dxa"/>
            <w:vAlign w:val="bottom"/>
          </w:tcPr>
          <w:p>
            <w:pPr>
              <w:jc w:val="center"/>
              <w:ind w:left="904"/>
              <w:spacing w:after="0"/>
              <w:rPr>
                <w:sz w:val="20"/>
                <w:szCs w:val="20"/>
                <w:color w:val="auto"/>
              </w:rPr>
            </w:pPr>
            <w:r>
              <w:rPr>
                <w:rFonts w:ascii="Arial" w:cs="Arial" w:eastAsia="Arial" w:hAnsi="Arial"/>
                <w:sz w:val="16"/>
                <w:szCs w:val="16"/>
                <w:color w:val="auto"/>
                <w:w w:val="88"/>
              </w:rPr>
              <w:t>Richard L. Thompson</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382"/>
        </w:trPr>
        <w:tc>
          <w:tcPr>
            <w:tcW w:w="4740" w:type="dxa"/>
            <w:vAlign w:val="bottom"/>
          </w:tcPr>
          <w:p>
            <w:pPr>
              <w:spacing w:after="0"/>
              <w:rPr>
                <w:sz w:val="24"/>
                <w:szCs w:val="24"/>
                <w:color w:val="auto"/>
              </w:rPr>
            </w:pPr>
          </w:p>
        </w:tc>
        <w:tc>
          <w:tcPr>
            <w:tcW w:w="1320" w:type="dxa"/>
            <w:vAlign w:val="bottom"/>
            <w:gridSpan w:val="2"/>
          </w:tcPr>
          <w:p>
            <w:pPr>
              <w:jc w:val="right"/>
              <w:ind w:right="182"/>
              <w:spacing w:after="0"/>
              <w:rPr>
                <w:sz w:val="20"/>
                <w:szCs w:val="20"/>
                <w:color w:val="auto"/>
              </w:rPr>
            </w:pPr>
            <w:r>
              <w:rPr>
                <w:rFonts w:ascii="Arial" w:cs="Arial" w:eastAsia="Arial" w:hAnsi="Arial"/>
                <w:sz w:val="16"/>
                <w:szCs w:val="16"/>
                <w:color w:val="auto"/>
              </w:rPr>
              <w:t>84</w:t>
            </w: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0"/>
        </w:trPr>
        <w:tc>
          <w:tcPr>
            <w:tcW w:w="474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3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88" w:name="page89"/>
    <w:bookmarkEnd w:id="88"/>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64"/>
        <w:spacing w:after="0"/>
        <w:rPr>
          <w:sz w:val="20"/>
          <w:szCs w:val="20"/>
          <w:color w:val="auto"/>
        </w:rPr>
      </w:pPr>
      <w:r>
        <w:rPr>
          <w:rFonts w:ascii="Arial" w:cs="Arial" w:eastAsia="Arial" w:hAnsi="Arial"/>
          <w:sz w:val="16"/>
          <w:szCs w:val="16"/>
          <w:b w:val="1"/>
          <w:bCs w:val="1"/>
          <w:color w:val="auto"/>
        </w:rPr>
        <w:t>REPORT OF INDEPENDENT PUBLIC ACCOUNTANTS</w:t>
      </w:r>
    </w:p>
    <w:p>
      <w:pPr>
        <w:spacing w:after="0" w:line="198" w:lineRule="exact"/>
        <w:rPr>
          <w:sz w:val="20"/>
          <w:szCs w:val="20"/>
          <w:color w:val="auto"/>
        </w:rPr>
      </w:pPr>
    </w:p>
    <w:p>
      <w:pPr>
        <w:jc w:val="center"/>
        <w:ind w:right="-64"/>
        <w:spacing w:after="0"/>
        <w:rPr>
          <w:sz w:val="20"/>
          <w:szCs w:val="20"/>
          <w:color w:val="auto"/>
        </w:rPr>
      </w:pPr>
      <w:r>
        <w:rPr>
          <w:rFonts w:ascii="Arial" w:cs="Arial" w:eastAsia="Arial" w:hAnsi="Arial"/>
          <w:sz w:val="16"/>
          <w:szCs w:val="16"/>
          <w:b w:val="1"/>
          <w:bCs w:val="1"/>
          <w:color w:val="auto"/>
        </w:rPr>
        <w:t>ON FINANCIAL STATEMENT SCHEDULE</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the Stockholders and Board of Directors of</w:t>
      </w:r>
    </w:p>
    <w:p>
      <w:pPr>
        <w:spacing w:after="0" w:line="198" w:lineRule="exact"/>
        <w:rPr>
          <w:sz w:val="20"/>
          <w:szCs w:val="20"/>
          <w:color w:val="auto"/>
        </w:rPr>
      </w:pPr>
    </w:p>
    <w:p>
      <w:pPr>
        <w:ind w:left="185"/>
        <w:spacing w:after="0"/>
        <w:rPr>
          <w:sz w:val="20"/>
          <w:szCs w:val="20"/>
          <w:color w:val="auto"/>
        </w:rPr>
      </w:pPr>
      <w:r>
        <w:rPr>
          <w:rFonts w:ascii="Arial" w:cs="Arial" w:eastAsia="Arial" w:hAnsi="Arial"/>
          <w:sz w:val="16"/>
          <w:szCs w:val="16"/>
          <w:color w:val="auto"/>
        </w:rPr>
        <w:t>Lennox International Inc.:</w:t>
      </w:r>
    </w:p>
    <w:p>
      <w:pPr>
        <w:spacing w:after="0" w:line="222" w:lineRule="exact"/>
        <w:rPr>
          <w:sz w:val="20"/>
          <w:szCs w:val="20"/>
          <w:color w:val="auto"/>
        </w:rPr>
      </w:pPr>
    </w:p>
    <w:p>
      <w:pPr>
        <w:ind w:left="5" w:firstLine="286"/>
        <w:spacing w:after="0" w:line="294" w:lineRule="auto"/>
        <w:rPr>
          <w:sz w:val="20"/>
          <w:szCs w:val="20"/>
          <w:color w:val="auto"/>
        </w:rPr>
      </w:pPr>
      <w:r>
        <w:rPr>
          <w:rFonts w:ascii="Arial" w:cs="Arial" w:eastAsia="Arial" w:hAnsi="Arial"/>
          <w:sz w:val="14"/>
          <w:szCs w:val="14"/>
          <w:color w:val="auto"/>
        </w:rPr>
        <w:t>We have audited in accordance with auditing standards generally accepted in the United States the consolidated financial statements of Lennox International Inc. and Subsidiaries included in this Annual Report on Form 10-K and have issued our report thereon dated February 6, 2002.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statements taken as a whole.</w:t>
      </w:r>
    </w:p>
    <w:p>
      <w:pPr>
        <w:spacing w:after="0" w:line="154" w:lineRule="exact"/>
        <w:rPr>
          <w:sz w:val="20"/>
          <w:szCs w:val="20"/>
          <w:color w:val="auto"/>
        </w:rPr>
      </w:pPr>
    </w:p>
    <w:p>
      <w:pPr>
        <w:jc w:val="center"/>
        <w:ind w:right="255"/>
        <w:spacing w:after="0"/>
        <w:rPr>
          <w:sz w:val="20"/>
          <w:szCs w:val="20"/>
          <w:color w:val="auto"/>
        </w:rPr>
      </w:pPr>
      <w:r>
        <w:rPr>
          <w:rFonts w:ascii="Arial" w:cs="Arial" w:eastAsia="Arial" w:hAnsi="Arial"/>
          <w:sz w:val="16"/>
          <w:szCs w:val="16"/>
          <w:color w:val="auto"/>
        </w:rPr>
        <w:t>ARTHUR ANDERSEN LLP</w:t>
      </w:r>
      <w:r>
        <w:rPr>
          <w:rFonts w:ascii="Arial" w:cs="Arial" w:eastAsia="Arial" w:hAnsi="Arial"/>
          <w:sz w:val="25"/>
          <w:szCs w:val="25"/>
          <w:color w:val="auto"/>
          <w:vertAlign w:val="superscript"/>
        </w:rPr>
        <w:t>(1)</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Dallas, Texas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February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83261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285" w:lineRule="exact"/>
        <w:rPr>
          <w:sz w:val="20"/>
          <w:szCs w:val="20"/>
          <w:color w:val="auto"/>
        </w:rPr>
      </w:pPr>
    </w:p>
    <w:p>
      <w:pPr>
        <w:ind w:left="345" w:right="20" w:hanging="345"/>
        <w:spacing w:after="0" w:line="254" w:lineRule="auto"/>
        <w:tabs>
          <w:tab w:leader="none" w:pos="3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report is a copy of the previously issued report covering fiscal years 2001 and 2000. The predecessor auditors have not reissued their report. The consolidated financial statements as of December 31, 2001 and for each of the years in the two-year period then ended have been revised to include the transitional disclosures required by Statement of Financial Accounting Standard No. 142, Goodwill and Other Intangible Assets (see Note 2 under the heading “Goodwill and Other Intangible Assets”). The report of Arthur Andersen LLP presented above does not extend to these</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6"/>
          <w:szCs w:val="16"/>
          <w:color w:val="auto"/>
        </w:rPr>
        <w:t>changes.</w:t>
      </w:r>
    </w:p>
    <w:p>
      <w:pPr>
        <w:spacing w:after="0" w:line="198" w:lineRule="exact"/>
        <w:rPr>
          <w:sz w:val="20"/>
          <w:szCs w:val="20"/>
          <w:color w:val="auto"/>
        </w:rPr>
      </w:pPr>
    </w:p>
    <w:p>
      <w:pPr>
        <w:jc w:val="center"/>
        <w:ind w:right="-64"/>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7575" cy="203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5"/>
          </w:cols>
          <w:pgMar w:left="235" w:top="386" w:right="279" w:bottom="1440" w:gutter="0" w:footer="0" w:header="0"/>
        </w:sectPr>
      </w:pPr>
    </w:p>
    <w:bookmarkStart w:id="89" w:name="page90"/>
    <w:bookmarkEnd w:id="89"/>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LENNOX INTERNATIONAL INC.</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SCHEDULE II — VALUATION AND QUALIFYING ACCOUNTS AND RESERVES</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193"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Additions</w:t>
            </w: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Balance at</w:t>
            </w:r>
          </w:p>
        </w:tc>
        <w:tc>
          <w:tcPr>
            <w:tcW w:w="320" w:type="dxa"/>
            <w:vAlign w:val="bottom"/>
          </w:tcPr>
          <w:p>
            <w:pPr>
              <w:spacing w:after="0"/>
              <w:rPr>
                <w:sz w:val="11"/>
                <w:szCs w:val="11"/>
                <w:color w:val="auto"/>
              </w:rPr>
            </w:pPr>
          </w:p>
        </w:tc>
        <w:tc>
          <w:tcPr>
            <w:tcW w:w="10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87"/>
              </w:rPr>
              <w:t>charged to</w:t>
            </w:r>
          </w:p>
        </w:tc>
        <w:tc>
          <w:tcPr>
            <w:tcW w:w="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Balance</w:t>
            </w:r>
          </w:p>
        </w:tc>
        <w:tc>
          <w:tcPr>
            <w:tcW w:w="0" w:type="dxa"/>
            <w:vAlign w:val="bottom"/>
          </w:tcPr>
          <w:p>
            <w:pPr>
              <w:spacing w:after="0"/>
              <w:rPr>
                <w:sz w:val="1"/>
                <w:szCs w:val="1"/>
                <w:color w:val="auto"/>
              </w:rPr>
            </w:pPr>
          </w:p>
        </w:tc>
      </w:tr>
      <w:tr>
        <w:trPr>
          <w:trHeight w:val="143"/>
        </w:trPr>
        <w:tc>
          <w:tcPr>
            <w:tcW w:w="558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87"/>
              </w:rPr>
              <w:t>beginning</w:t>
            </w:r>
          </w:p>
        </w:tc>
        <w:tc>
          <w:tcPr>
            <w:tcW w:w="32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cost and</w:t>
            </w:r>
          </w:p>
        </w:tc>
        <w:tc>
          <w:tcPr>
            <w:tcW w:w="320" w:type="dxa"/>
            <w:vAlign w:val="bottom"/>
          </w:tcPr>
          <w:p>
            <w:pPr>
              <w:spacing w:after="0"/>
              <w:rPr>
                <w:sz w:val="12"/>
                <w:szCs w:val="12"/>
                <w:color w:val="auto"/>
              </w:rPr>
            </w:pPr>
          </w:p>
        </w:tc>
        <w:tc>
          <w:tcPr>
            <w:tcW w:w="1780" w:type="dxa"/>
            <w:vAlign w:val="bottom"/>
            <w:vMerge w:val="restart"/>
          </w:tcPr>
          <w:p>
            <w:pPr>
              <w:jc w:val="right"/>
              <w:ind w:right="480"/>
              <w:spacing w:after="0"/>
              <w:rPr>
                <w:sz w:val="20"/>
                <w:szCs w:val="20"/>
                <w:color w:val="auto"/>
              </w:rPr>
            </w:pPr>
            <w:r>
              <w:rPr>
                <w:rFonts w:ascii="Arial" w:cs="Arial" w:eastAsia="Arial" w:hAnsi="Arial"/>
                <w:sz w:val="12"/>
                <w:szCs w:val="12"/>
                <w:b w:val="1"/>
                <w:bCs w:val="1"/>
                <w:color w:val="auto"/>
              </w:rPr>
              <w:t>Deductions</w:t>
            </w:r>
            <w:r>
              <w:rPr>
                <w:rFonts w:ascii="Arial" w:cs="Arial" w:eastAsia="Arial" w:hAnsi="Arial"/>
                <w:sz w:val="19"/>
                <w:szCs w:val="19"/>
                <w:b w:val="1"/>
                <w:bCs w:val="1"/>
                <w:color w:val="auto"/>
                <w:vertAlign w:val="superscript"/>
              </w:rPr>
              <w:t>(1)</w:t>
            </w:r>
          </w:p>
        </w:tc>
        <w:tc>
          <w:tcPr>
            <w:tcW w:w="3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0"/>
              </w:rPr>
              <w:t>at end</w:t>
            </w:r>
          </w:p>
        </w:tc>
        <w:tc>
          <w:tcPr>
            <w:tcW w:w="0" w:type="dxa"/>
            <w:vAlign w:val="bottom"/>
          </w:tcPr>
          <w:p>
            <w:pPr>
              <w:spacing w:after="0"/>
              <w:rPr>
                <w:sz w:val="1"/>
                <w:szCs w:val="1"/>
                <w:color w:val="auto"/>
              </w:rPr>
            </w:pPr>
          </w:p>
        </w:tc>
      </w:tr>
      <w:tr>
        <w:trPr>
          <w:trHeight w:val="247"/>
        </w:trPr>
        <w:tc>
          <w:tcPr>
            <w:tcW w:w="5580" w:type="dxa"/>
            <w:vAlign w:val="bottom"/>
          </w:tcPr>
          <w:p>
            <w:pPr>
              <w:spacing w:after="0"/>
              <w:rPr>
                <w:sz w:val="21"/>
                <w:szCs w:val="21"/>
                <w:color w:val="auto"/>
              </w:rPr>
            </w:pPr>
          </w:p>
        </w:tc>
        <w:tc>
          <w:tcPr>
            <w:tcW w:w="116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w w:val="86"/>
              </w:rPr>
              <w:t>of year</w:t>
            </w:r>
          </w:p>
        </w:tc>
        <w:tc>
          <w:tcPr>
            <w:tcW w:w="320" w:type="dxa"/>
            <w:vAlign w:val="bottom"/>
          </w:tcPr>
          <w:p>
            <w:pPr>
              <w:spacing w:after="0"/>
              <w:rPr>
                <w:sz w:val="21"/>
                <w:szCs w:val="21"/>
                <w:color w:val="auto"/>
              </w:rPr>
            </w:pPr>
          </w:p>
        </w:tc>
        <w:tc>
          <w:tcPr>
            <w:tcW w:w="10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2"/>
                <w:szCs w:val="12"/>
                <w:b w:val="1"/>
                <w:bCs w:val="1"/>
                <w:color w:val="auto"/>
                <w:w w:val="80"/>
              </w:rPr>
              <w:t>expenses</w:t>
            </w:r>
          </w:p>
        </w:tc>
        <w:tc>
          <w:tcPr>
            <w:tcW w:w="320" w:type="dxa"/>
            <w:vAlign w:val="bottom"/>
          </w:tcPr>
          <w:p>
            <w:pPr>
              <w:spacing w:after="0"/>
              <w:rPr>
                <w:sz w:val="21"/>
                <w:szCs w:val="21"/>
                <w:color w:val="auto"/>
              </w:rPr>
            </w:pPr>
          </w:p>
        </w:tc>
        <w:tc>
          <w:tcPr>
            <w:tcW w:w="1780" w:type="dxa"/>
            <w:vAlign w:val="bottom"/>
            <w:tcBorders>
              <w:bottom w:val="single" w:sz="8" w:color="808080"/>
            </w:tcBorders>
            <w:vMerge w:val="continue"/>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w w:val="91"/>
              </w:rPr>
              <w:t>of year</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gridSpan w:val="2"/>
          </w:tcPr>
          <w:p>
            <w:pPr>
              <w:jc w:val="right"/>
              <w:ind w:right="1300"/>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EEEEEE"/>
          </w:tcPr>
          <w:p>
            <w:pPr>
              <w:jc w:val="right"/>
              <w:ind w:right="5162"/>
              <w:spacing w:after="0"/>
              <w:rPr>
                <w:sz w:val="20"/>
                <w:szCs w:val="20"/>
                <w:color w:val="auto"/>
              </w:rPr>
            </w:pPr>
            <w:r>
              <w:rPr>
                <w:rFonts w:ascii="Arial" w:cs="Arial" w:eastAsia="Arial" w:hAnsi="Arial"/>
                <w:sz w:val="16"/>
                <w:szCs w:val="16"/>
                <w:color w:val="auto"/>
                <w:w w:val="79"/>
              </w:rPr>
              <w:t>2001:</w:t>
            </w:r>
          </w:p>
        </w:tc>
        <w:tc>
          <w:tcPr>
            <w:tcW w:w="11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7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jc w:val="right"/>
              <w:ind w:right="3162"/>
              <w:spacing w:after="0"/>
              <w:rPr>
                <w:sz w:val="20"/>
                <w:szCs w:val="20"/>
                <w:color w:val="auto"/>
              </w:rPr>
            </w:pPr>
            <w:r>
              <w:rPr>
                <w:rFonts w:ascii="Arial" w:cs="Arial" w:eastAsia="Arial" w:hAnsi="Arial"/>
                <w:sz w:val="16"/>
                <w:szCs w:val="16"/>
                <w:color w:val="auto"/>
              </w:rPr>
              <w:t>Allowance for doubtful accounts</w:t>
            </w:r>
          </w:p>
        </w:tc>
        <w:tc>
          <w:tcPr>
            <w:tcW w:w="1160" w:type="dxa"/>
            <w:vAlign w:val="bottom"/>
          </w:tcPr>
          <w:p>
            <w:pPr>
              <w:jc w:val="right"/>
              <w:ind w:right="371"/>
              <w:spacing w:after="0"/>
              <w:rPr>
                <w:sz w:val="20"/>
                <w:szCs w:val="20"/>
                <w:color w:val="auto"/>
              </w:rPr>
            </w:pPr>
            <w:r>
              <w:rPr>
                <w:rFonts w:ascii="Arial" w:cs="Arial" w:eastAsia="Arial" w:hAnsi="Arial"/>
                <w:sz w:val="16"/>
                <w:szCs w:val="16"/>
                <w:color w:val="auto"/>
              </w:rPr>
              <w:t>$23.8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42"/>
              <w:spacing w:after="0"/>
              <w:rPr>
                <w:sz w:val="20"/>
                <w:szCs w:val="20"/>
                <w:color w:val="auto"/>
              </w:rPr>
            </w:pPr>
            <w:r>
              <w:rPr>
                <w:rFonts w:ascii="Arial" w:cs="Arial" w:eastAsia="Arial" w:hAnsi="Arial"/>
                <w:sz w:val="16"/>
                <w:szCs w:val="16"/>
                <w:color w:val="auto"/>
                <w:w w:val="76"/>
              </w:rPr>
              <w:t>15.8</w:t>
            </w:r>
          </w:p>
        </w:tc>
        <w:tc>
          <w:tcPr>
            <w:tcW w:w="2100" w:type="dxa"/>
            <w:vAlign w:val="bottom"/>
            <w:gridSpan w:val="2"/>
          </w:tcPr>
          <w:p>
            <w:pPr>
              <w:jc w:val="right"/>
              <w:ind w:right="560"/>
              <w:spacing w:after="0"/>
              <w:rPr>
                <w:sz w:val="20"/>
                <w:szCs w:val="20"/>
                <w:color w:val="auto"/>
              </w:rPr>
            </w:pPr>
            <w:r>
              <w:rPr>
                <w:rFonts w:ascii="Arial" w:cs="Arial" w:eastAsia="Arial" w:hAnsi="Arial"/>
                <w:sz w:val="16"/>
                <w:szCs w:val="16"/>
                <w:color w:val="auto"/>
              </w:rPr>
              <w:t>$ (11.2)</w:t>
            </w:r>
          </w:p>
        </w:tc>
        <w:tc>
          <w:tcPr>
            <w:tcW w:w="1240" w:type="dxa"/>
            <w:vAlign w:val="bottom"/>
            <w:gridSpan w:val="2"/>
          </w:tcPr>
          <w:p>
            <w:pPr>
              <w:ind w:left="5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1"/>
        </w:trPr>
        <w:tc>
          <w:tcPr>
            <w:tcW w:w="5580" w:type="dxa"/>
            <w:vAlign w:val="bottom"/>
            <w:shd w:val="clear" w:color="auto" w:fill="EEEEEE"/>
          </w:tcPr>
          <w:p>
            <w:pPr>
              <w:jc w:val="right"/>
              <w:ind w:right="5162"/>
              <w:spacing w:after="0"/>
              <w:rPr>
                <w:sz w:val="20"/>
                <w:szCs w:val="20"/>
                <w:color w:val="auto"/>
              </w:rPr>
            </w:pPr>
            <w:r>
              <w:rPr>
                <w:rFonts w:ascii="Arial" w:cs="Arial" w:eastAsia="Arial" w:hAnsi="Arial"/>
                <w:sz w:val="16"/>
                <w:szCs w:val="16"/>
                <w:color w:val="auto"/>
                <w:w w:val="79"/>
              </w:rPr>
              <w:t>2002:</w:t>
            </w:r>
          </w:p>
        </w:tc>
        <w:tc>
          <w:tcPr>
            <w:tcW w:w="11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7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jc w:val="right"/>
              <w:ind w:right="3162"/>
              <w:spacing w:after="0"/>
              <w:rPr>
                <w:sz w:val="20"/>
                <w:szCs w:val="20"/>
                <w:color w:val="auto"/>
              </w:rPr>
            </w:pPr>
            <w:r>
              <w:rPr>
                <w:rFonts w:ascii="Arial" w:cs="Arial" w:eastAsia="Arial" w:hAnsi="Arial"/>
                <w:sz w:val="16"/>
                <w:szCs w:val="16"/>
                <w:color w:val="auto"/>
              </w:rPr>
              <w:t>Allowance for doubtful accounts</w:t>
            </w:r>
          </w:p>
        </w:tc>
        <w:tc>
          <w:tcPr>
            <w:tcW w:w="1160" w:type="dxa"/>
            <w:vAlign w:val="bottom"/>
          </w:tcPr>
          <w:p>
            <w:pPr>
              <w:jc w:val="right"/>
              <w:ind w:right="371"/>
              <w:spacing w:after="0"/>
              <w:rPr>
                <w:sz w:val="20"/>
                <w:szCs w:val="20"/>
                <w:color w:val="auto"/>
              </w:rPr>
            </w:pPr>
            <w:r>
              <w:rPr>
                <w:rFonts w:ascii="Arial" w:cs="Arial" w:eastAsia="Arial" w:hAnsi="Arial"/>
                <w:sz w:val="16"/>
                <w:szCs w:val="16"/>
                <w:color w:val="auto"/>
              </w:rPr>
              <w:t>$28.4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42"/>
              <w:spacing w:after="0"/>
              <w:rPr>
                <w:sz w:val="20"/>
                <w:szCs w:val="20"/>
                <w:color w:val="auto"/>
              </w:rPr>
            </w:pPr>
            <w:r>
              <w:rPr>
                <w:rFonts w:ascii="Arial" w:cs="Arial" w:eastAsia="Arial" w:hAnsi="Arial"/>
                <w:sz w:val="16"/>
                <w:szCs w:val="16"/>
                <w:color w:val="auto"/>
              </w:rPr>
              <w:t>9.8</w:t>
            </w:r>
          </w:p>
        </w:tc>
        <w:tc>
          <w:tcPr>
            <w:tcW w:w="2100" w:type="dxa"/>
            <w:vAlign w:val="bottom"/>
            <w:gridSpan w:val="2"/>
          </w:tcPr>
          <w:p>
            <w:pPr>
              <w:jc w:val="right"/>
              <w:ind w:right="560"/>
              <w:spacing w:after="0"/>
              <w:rPr>
                <w:sz w:val="20"/>
                <w:szCs w:val="20"/>
                <w:color w:val="auto"/>
              </w:rPr>
            </w:pPr>
            <w:r>
              <w:rPr>
                <w:rFonts w:ascii="Arial" w:cs="Arial" w:eastAsia="Arial" w:hAnsi="Arial"/>
                <w:sz w:val="16"/>
                <w:szCs w:val="16"/>
                <w:color w:val="auto"/>
              </w:rPr>
              <w:t>$(14.4)</w:t>
            </w:r>
          </w:p>
        </w:tc>
        <w:tc>
          <w:tcPr>
            <w:tcW w:w="1240" w:type="dxa"/>
            <w:vAlign w:val="bottom"/>
            <w:gridSpan w:val="2"/>
          </w:tcPr>
          <w:p>
            <w:pPr>
              <w:ind w:left="56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1"/>
        </w:trPr>
        <w:tc>
          <w:tcPr>
            <w:tcW w:w="5580" w:type="dxa"/>
            <w:vAlign w:val="bottom"/>
            <w:shd w:val="clear" w:color="auto" w:fill="EEEEEE"/>
          </w:tcPr>
          <w:p>
            <w:pPr>
              <w:jc w:val="right"/>
              <w:ind w:right="5162"/>
              <w:spacing w:after="0"/>
              <w:rPr>
                <w:sz w:val="20"/>
                <w:szCs w:val="20"/>
                <w:color w:val="auto"/>
              </w:rPr>
            </w:pPr>
            <w:r>
              <w:rPr>
                <w:rFonts w:ascii="Arial" w:cs="Arial" w:eastAsia="Arial" w:hAnsi="Arial"/>
                <w:sz w:val="16"/>
                <w:szCs w:val="16"/>
                <w:color w:val="auto"/>
                <w:w w:val="79"/>
              </w:rPr>
              <w:t>2003:</w:t>
            </w:r>
          </w:p>
        </w:tc>
        <w:tc>
          <w:tcPr>
            <w:tcW w:w="11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4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78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Pr>
          <w:p>
            <w:pPr>
              <w:jc w:val="right"/>
              <w:ind w:right="3162"/>
              <w:spacing w:after="0"/>
              <w:rPr>
                <w:sz w:val="20"/>
                <w:szCs w:val="20"/>
                <w:color w:val="auto"/>
              </w:rPr>
            </w:pPr>
            <w:r>
              <w:rPr>
                <w:rFonts w:ascii="Arial" w:cs="Arial" w:eastAsia="Arial" w:hAnsi="Arial"/>
                <w:sz w:val="16"/>
                <w:szCs w:val="16"/>
                <w:color w:val="auto"/>
              </w:rPr>
              <w:t>Allowance for doubtful accounts</w:t>
            </w:r>
          </w:p>
        </w:tc>
        <w:tc>
          <w:tcPr>
            <w:tcW w:w="1160" w:type="dxa"/>
            <w:vAlign w:val="bottom"/>
          </w:tcPr>
          <w:p>
            <w:pPr>
              <w:jc w:val="right"/>
              <w:ind w:right="371"/>
              <w:spacing w:after="0"/>
              <w:rPr>
                <w:sz w:val="20"/>
                <w:szCs w:val="20"/>
                <w:color w:val="auto"/>
              </w:rPr>
            </w:pPr>
            <w:r>
              <w:rPr>
                <w:rFonts w:ascii="Arial" w:cs="Arial" w:eastAsia="Arial" w:hAnsi="Arial"/>
                <w:sz w:val="16"/>
                <w:szCs w:val="16"/>
                <w:color w:val="auto"/>
              </w:rPr>
              <w:t>$23.8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42"/>
              <w:spacing w:after="0"/>
              <w:rPr>
                <w:sz w:val="20"/>
                <w:szCs w:val="20"/>
                <w:color w:val="auto"/>
              </w:rPr>
            </w:pPr>
            <w:r>
              <w:rPr>
                <w:rFonts w:ascii="Arial" w:cs="Arial" w:eastAsia="Arial" w:hAnsi="Arial"/>
                <w:sz w:val="16"/>
                <w:szCs w:val="16"/>
                <w:color w:val="auto"/>
                <w:w w:val="76"/>
              </w:rPr>
              <w:t>13.3</w:t>
            </w:r>
          </w:p>
        </w:tc>
        <w:tc>
          <w:tcPr>
            <w:tcW w:w="2100" w:type="dxa"/>
            <w:vAlign w:val="bottom"/>
            <w:gridSpan w:val="2"/>
          </w:tcPr>
          <w:p>
            <w:pPr>
              <w:jc w:val="right"/>
              <w:ind w:right="560"/>
              <w:spacing w:after="0"/>
              <w:rPr>
                <w:sz w:val="20"/>
                <w:szCs w:val="20"/>
                <w:color w:val="auto"/>
              </w:rPr>
            </w:pPr>
            <w:r>
              <w:rPr>
                <w:rFonts w:ascii="Arial" w:cs="Arial" w:eastAsia="Arial" w:hAnsi="Arial"/>
                <w:sz w:val="16"/>
                <w:szCs w:val="16"/>
                <w:color w:val="auto"/>
              </w:rPr>
              <w:t>$(17.9)</w:t>
            </w:r>
          </w:p>
        </w:tc>
        <w:tc>
          <w:tcPr>
            <w:tcW w:w="1240" w:type="dxa"/>
            <w:vAlign w:val="bottom"/>
            <w:gridSpan w:val="2"/>
          </w:tcPr>
          <w:p>
            <w:pPr>
              <w:ind w:left="56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32524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61" w:lineRule="exact"/>
        <w:rPr>
          <w:sz w:val="20"/>
          <w:szCs w:val="20"/>
          <w:color w:val="auto"/>
        </w:rPr>
      </w:pPr>
    </w:p>
    <w:p>
      <w:pPr>
        <w:jc w:val="center"/>
        <w:ind w:left="5645" w:right="780" w:hanging="5645"/>
        <w:spacing w:after="0" w:line="513" w:lineRule="auto"/>
        <w:tabs>
          <w:tab w:leader="none" w:pos="469"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Uncollectible accounts charged off, net of recoveries. Also includes $0.9 million transferred as part of the formation of Outokumpu Heatcraft joint ventures in 2002.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267575"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5"/>
          </w:cols>
          <w:pgMar w:left="235" w:top="386" w:right="21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20" w:type="dxa"/>
            <w:vAlign w:val="bottom"/>
          </w:tcPr>
          <w:p>
            <w:pPr>
              <w:ind w:left="1420"/>
              <w:spacing w:after="0"/>
              <w:rPr>
                <w:sz w:val="20"/>
                <w:szCs w:val="20"/>
                <w:color w:val="auto"/>
              </w:rPr>
            </w:pPr>
            <w:r>
              <w:rPr>
                <w:rFonts w:ascii="Arial" w:cs="Arial" w:eastAsia="Arial" w:hAnsi="Arial"/>
                <w:sz w:val="16"/>
                <w:szCs w:val="16"/>
                <w:b w:val="1"/>
                <w:bCs w:val="1"/>
                <w:color w:val="auto"/>
              </w:rPr>
              <w:t>INDEX TO EXHIBITS</w:t>
            </w:r>
          </w:p>
        </w:tc>
      </w:tr>
      <w:tr>
        <w:trPr>
          <w:trHeight w:val="527"/>
        </w:trPr>
        <w:tc>
          <w:tcPr>
            <w:tcW w:w="3200" w:type="dxa"/>
            <w:vAlign w:val="bottom"/>
          </w:tcPr>
          <w:p>
            <w:pPr>
              <w:jc w:val="right"/>
              <w:ind w:right="1124"/>
              <w:spacing w:after="0"/>
              <w:rPr>
                <w:sz w:val="20"/>
                <w:szCs w:val="20"/>
                <w:color w:val="auto"/>
              </w:rPr>
            </w:pPr>
            <w:r>
              <w:rPr>
                <w:rFonts w:ascii="Arial" w:cs="Arial" w:eastAsia="Arial" w:hAnsi="Arial"/>
                <w:sz w:val="12"/>
                <w:szCs w:val="12"/>
                <w:b w:val="1"/>
                <w:bCs w:val="1"/>
                <w:color w:val="auto"/>
              </w:rPr>
              <w:t>Exhibit Number</w:t>
            </w:r>
          </w:p>
        </w:tc>
        <w:tc>
          <w:tcPr>
            <w:tcW w:w="320" w:type="dxa"/>
            <w:vAlign w:val="bottom"/>
          </w:tcPr>
          <w:p>
            <w:pPr>
              <w:spacing w:after="0"/>
              <w:rPr>
                <w:sz w:val="24"/>
                <w:szCs w:val="24"/>
                <w:color w:val="auto"/>
              </w:rPr>
            </w:pPr>
          </w:p>
        </w:tc>
        <w:tc>
          <w:tcPr>
            <w:tcW w:w="7920" w:type="dxa"/>
            <w:vAlign w:val="bottom"/>
          </w:tcPr>
          <w:p>
            <w:pPr>
              <w:ind w:left="3600"/>
              <w:spacing w:after="0"/>
              <w:rPr>
                <w:sz w:val="20"/>
                <w:szCs w:val="20"/>
                <w:color w:val="auto"/>
              </w:rPr>
            </w:pPr>
            <w:r>
              <w:rPr>
                <w:rFonts w:ascii="Arial" w:cs="Arial" w:eastAsia="Arial" w:hAnsi="Arial"/>
                <w:sz w:val="12"/>
                <w:szCs w:val="12"/>
                <w:b w:val="1"/>
                <w:bCs w:val="1"/>
                <w:color w:val="auto"/>
              </w:rPr>
              <w:t>Exhibit Name</w:t>
            </w:r>
          </w:p>
        </w:tc>
      </w:tr>
      <w:tr>
        <w:trPr>
          <w:trHeight w:val="83"/>
        </w:trPr>
        <w:tc>
          <w:tcPr>
            <w:tcW w:w="32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7920" w:type="dxa"/>
            <w:vAlign w:val="bottom"/>
            <w:tcBorders>
              <w:bottom w:val="single" w:sz="8" w:color="808080"/>
            </w:tcBorders>
          </w:tcPr>
          <w:p>
            <w:pPr>
              <w:spacing w:after="0"/>
              <w:rPr>
                <w:sz w:val="7"/>
                <w:szCs w:val="7"/>
                <w:color w:val="auto"/>
              </w:rPr>
            </w:pPr>
          </w:p>
        </w:tc>
      </w:tr>
      <w:tr>
        <w:trPr>
          <w:trHeight w:val="27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3"/>
                <w:szCs w:val="23"/>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8"/>
              </w:rPr>
              <w:t>— Restated Certificate of Incorporation of Lennox International Inc. (“LII”) (filed as Exhibit 3.1 to LII’s Registration</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Statement on Form S-1 (Registration No. 333-75725) and incorporated 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5"/>
              </w:rPr>
              <w:t>— Amended and Restated Bylaws of LII (filed as Exhibit 3.2 to LII’s Registration Statement on Form S-1 (Registration</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No. 333-75725) and incorporated 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9"/>
              </w:rPr>
              <w:t>— Specimen Stock Certificate for the Common Stock, par value $.01 per share, of LII (filed as Exhibit 4.1 to LII’s</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Registration Statement on Form S-1 (Registration No. 333-75725) and incorporated 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88"/>
              </w:rPr>
              <w:t>— Rights Agreement, dated as of July 27, 2000, between LII and ChaseMellon Shareholder Services, L.L.C., as Rights Agent,</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0"/>
              </w:rPr>
              <w:t>which includes as Exhibit A the form of Certificate of Designations of Series A Junior Participating Preferred Stock setting</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89"/>
              </w:rPr>
              <w:t>forth the terms of the Preferred Stock, as Exhibit B the form of Rights Certificate and as Exhibit C the Summary of Rights to</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1"/>
              </w:rPr>
              <w:t>Purchase Preferred Stock (filed as Exhibit 4.1 to LII’s Current Report on Form 8-K dated July 27, 2000 and incorporated</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8"/>
              </w:rPr>
              <w:t>— Indenture, dated as of May 8, 2002, between LII and The Bank of New York, as Trustee, relating to LII’s 6.25%</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3"/>
              </w:rPr>
              <w:t>Convertible Subordinated Notes due June 1, 2009 (filed as Exhibit 10.2 to LII’s Quarterly Report on Form 10-Q for the</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quarter ended March 31, 2002 and incorporated 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6"/>
              </w:rPr>
              <w:t>— Registration Rights Agreement, dated as of May 8, 2002, between LII and UBS Warburg LLC and the other initial</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89"/>
              </w:rPr>
              <w:t>purchasers relating to LII’s 6.25% Convertible Subordinated Notes due June 1, 2009 (filed as Exhibit 10.3 to LII’s Quarterly</w:t>
            </w:r>
          </w:p>
        </w:tc>
      </w:tr>
      <w:tr>
        <w:trPr>
          <w:trHeight w:val="196"/>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Report on Form 10-Q for the quarter ended March 31, 2002 and incorporated herein by reference).</w:t>
            </w:r>
          </w:p>
        </w:tc>
      </w:tr>
      <w:tr>
        <w:trPr>
          <w:trHeight w:val="209"/>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6"/>
                <w:szCs w:val="16"/>
                <w:color w:val="auto"/>
                <w:w w:val="90"/>
              </w:rPr>
              <w:t>LII is a party to several debt instruments under which the total amount of securities authorized under any such instrument</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88"/>
              </w:rPr>
              <w:t>does not exceed 10% of the total assets of LII and its subsidiaries on a consolidated basis. Pursuant to paragraph 4(iii)(A) of</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88"/>
              </w:rPr>
              <w:t>Item 601(b) of Regulation S-K, LII agrees to furnish a copy of such instruments to the Securities and Exchange Commission</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upon request.</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0"/>
              </w:rPr>
              <w:t>— Amended and Restated Credit Facility Agreement dated as of September 11, 2003 among LII, the lenders listed thereto,</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3"/>
              </w:rPr>
              <w:t>JPMorgan Chase Bank, Bank of Nova Scotia, The Bank of Tokyo-Mitsubishi, Ltd. And Wells Fargo Bank Texas, N.A.,</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1"/>
              </w:rPr>
              <w:t>including an Amended and Restated Intercreditor Agreement as Exhibit F thereto and an Amended and Restated Pledge</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3"/>
              </w:rPr>
              <w:t>Agreement as Attachment D thereto (filed as Exhibit 10.1 to LII’s Quarterly Report on Form 10-Q for the quarter ended</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September 30, 2003 and incorporated herein by reference).</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89"/>
              </w:rPr>
              <w:t>— First Amendment to Amended and Restated Credit Facility Agreement dated as of August 27, 2004 among LII, the lenders</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party thereto, and JPMorgan Chase Bank, as administrative agent (filed herewith).</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88"/>
              </w:rPr>
              <w:t>— Fourth Amendment to Second Amended and Restated Receivable Purchase Agreement dated as of June 11, 2004, by and</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89"/>
              </w:rPr>
              <w:t>among Lennox Industries Inc., LPAC Corp., Liberty Street Funding Corp., the investors named in the Purchase Agreement,</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The Bank of Nova Scotia, YC SUSI Trust, Bank of America, N.A. and The Yorktown Investors (filed herewith).</w:t>
            </w:r>
          </w:p>
        </w:tc>
      </w:tr>
      <w:tr>
        <w:trPr>
          <w:trHeight w:val="191"/>
        </w:trPr>
        <w:tc>
          <w:tcPr>
            <w:tcW w:w="3200" w:type="dxa"/>
            <w:vAlign w:val="bottom"/>
          </w:tcPr>
          <w:p>
            <w:pPr>
              <w:jc w:val="right"/>
              <w:ind w:right="1404"/>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88"/>
              </w:rPr>
              <w:t>— Second Amended and Restated Receivables Purchase Agreement, dated as of June 16, 2003, among LPAC Corp., Lennox</w:t>
            </w:r>
          </w:p>
        </w:tc>
      </w:tr>
      <w:tr>
        <w:trPr>
          <w:trHeight w:val="196"/>
        </w:trPr>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w w:val="96"/>
              </w:rPr>
              <w:t>Industries Inc., Blue Ridge Asset Funding Corporation, Liberty Street Funding Corp., The Bank of Nova Scotia and</w:t>
            </w:r>
          </w:p>
        </w:tc>
      </w:tr>
    </w:tbl>
    <w:p>
      <w:pPr>
        <w:ind w:left="3640" w:right="120"/>
        <w:spacing w:after="0" w:line="257" w:lineRule="auto"/>
        <w:rPr>
          <w:sz w:val="20"/>
          <w:szCs w:val="20"/>
          <w:color w:val="auto"/>
        </w:rPr>
      </w:pPr>
      <w:r>
        <w:rPr>
          <w:rFonts w:ascii="Arial" w:cs="Arial" w:eastAsia="Arial" w:hAnsi="Arial"/>
          <w:sz w:val="16"/>
          <w:szCs w:val="16"/>
          <w:color w:val="auto"/>
        </w:rPr>
        <w:t>Wachovia Bank, N.A. (filed as Exhibit 10.1 to LII’s Quarterly Report on Form 10-Q for the quarterly period ended June 30, 2003 and incorporated herein by reference).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67575" cy="203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260" w:type="dxa"/>
            <w:vAlign w:val="bottom"/>
          </w:tcPr>
          <w:p>
            <w:pPr>
              <w:jc w:val="right"/>
              <w:ind w:right="1144"/>
              <w:spacing w:after="0"/>
              <w:rPr>
                <w:sz w:val="20"/>
                <w:szCs w:val="20"/>
                <w:color w:val="auto"/>
              </w:rPr>
            </w:pPr>
            <w:r>
              <w:rPr>
                <w:rFonts w:ascii="Arial" w:cs="Arial" w:eastAsia="Arial" w:hAnsi="Arial"/>
                <w:sz w:val="12"/>
                <w:szCs w:val="12"/>
                <w:b w:val="1"/>
                <w:bCs w:val="1"/>
                <w:color w:val="auto"/>
              </w:rPr>
              <w:t>Exhibit Number</w:t>
            </w:r>
          </w:p>
        </w:tc>
        <w:tc>
          <w:tcPr>
            <w:tcW w:w="320" w:type="dxa"/>
            <w:vAlign w:val="bottom"/>
          </w:tcPr>
          <w:p>
            <w:pPr>
              <w:spacing w:after="0"/>
              <w:rPr>
                <w:sz w:val="13"/>
                <w:szCs w:val="13"/>
                <w:color w:val="auto"/>
              </w:rPr>
            </w:pPr>
          </w:p>
        </w:tc>
        <w:tc>
          <w:tcPr>
            <w:tcW w:w="7860" w:type="dxa"/>
            <w:vAlign w:val="bottom"/>
          </w:tcPr>
          <w:p>
            <w:pPr>
              <w:ind w:left="3580"/>
              <w:spacing w:after="0"/>
              <w:rPr>
                <w:sz w:val="20"/>
                <w:szCs w:val="20"/>
                <w:color w:val="auto"/>
              </w:rPr>
            </w:pPr>
            <w:r>
              <w:rPr>
                <w:rFonts w:ascii="Arial" w:cs="Arial" w:eastAsia="Arial" w:hAnsi="Arial"/>
                <w:sz w:val="12"/>
                <w:szCs w:val="12"/>
                <w:b w:val="1"/>
                <w:bCs w:val="1"/>
                <w:color w:val="auto"/>
              </w:rPr>
              <w:t>Exhibit Name</w:t>
            </w:r>
          </w:p>
        </w:tc>
      </w:tr>
      <w:tr>
        <w:trPr>
          <w:trHeight w:val="83"/>
        </w:trPr>
        <w:tc>
          <w:tcPr>
            <w:tcW w:w="32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7860" w:type="dxa"/>
            <w:vAlign w:val="bottom"/>
            <w:tcBorders>
              <w:bottom w:val="single" w:sz="8" w:color="808080"/>
            </w:tcBorders>
          </w:tcPr>
          <w:p>
            <w:pPr>
              <w:spacing w:after="0"/>
              <w:rPr>
                <w:sz w:val="7"/>
                <w:szCs w:val="7"/>
                <w:color w:val="auto"/>
              </w:rPr>
            </w:pPr>
          </w:p>
        </w:tc>
      </w:tr>
      <w:tr>
        <w:trPr>
          <w:trHeight w:val="27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3"/>
                <w:szCs w:val="23"/>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9"/>
              </w:rPr>
              <w:t>— Purchase and Sale Agreement, dated as of June 19, 2000, among Lennox Industries Inc., Heatcraft Inc. and LPAC Corp.</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89"/>
              </w:rPr>
              <w:t>(filed as Exhibit 10.1 to LII’s Quarterly Report on Form 10-Q for the quarterly period ended June 30, 2000 and incorporated</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herein 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7"/>
              </w:rPr>
              <w:t>— First Amendment to the Purchase and Sale Agreement, dated as of June 17, 2002, among Lennox Industries Inc., Heatcraft</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3"/>
              </w:rPr>
              <w:t>Inc., Armstrong Air Conditioning Inc. and LPAC Corp. (filed as Exhibit 10.2 to LII’s Quarterly Report on Form 10-Q for</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the quarterly period ended June 30, 2002 and incorporated herein 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10.7</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91"/>
              </w:rPr>
              <w:t>— Second Amendment to Purchase and Sale Agreement, dated as of June 16, 2003, by and among LPAC Corp., Lennox</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3"/>
              </w:rPr>
              <w:t>Industries Inc., Advanced Distributor Products LLC and Heatcraft Refrigeration Products LLC (filed as Exhibit 10.2 to</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LII’s Quarterly Report on Form 10-Q for the quarterly period ended June 30, 2003 and incorporated herein 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7"/>
              </w:rPr>
              <w:t>— Omnibus Amendment Number One to the Amended and Restated Receivables Purchase Agreement and the Purchase and</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Sale Agreement, dated as of January 15, 2003, among Lennox Industries Inc., Heatcraft Inc., Armstrong Air Conditioning</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1"/>
              </w:rPr>
              <w:t>Inc., Advanced Distributor Products LLC, Heatcraft Refrigeration Products LLC, LPAC Corp., Blue Ridge Asset Funding</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4"/>
              </w:rPr>
              <w:t>Corporation and Wachovia Bank, N.A. (filed as Exhibit 10.12 to LII’s Annual Report on Form 10-K for the fiscal year</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ended December 31, 2002 and incorporated herein 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10.9</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9"/>
              </w:rPr>
              <w:t>— First Omnibus Amendment to Transaction Documents, dated as of December 31, 2003 among LII, Lennox Industries Inc.,</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Armstrong Air Conditioning Inc., Advanced Distributor Products LLC, Heatcraft Refrigeration Products LLC, LPAC Corp.,</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Blue Ridge Asset Funding Corporation, Wachovia Bank, National Association, Liberty Street Funding Corp., The Bank of</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2"/>
              </w:rPr>
              <w:t>Nova Scotia, EagleFunding Capital Corporation, Fleet National Bank and The Liberty Street Investors (filed herewith).</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10.10</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90"/>
              </w:rPr>
              <w:t>— Assignment and Assumption Agreement dated as of May 5, 2004, by and among EagleFunding Capital Corporation and</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3"/>
              </w:rPr>
              <w:t>YC SUSI Trust, Fleet National Bank and Back of America, N.A., Fleet Securities, Inc. and Bank of America, N.A., The</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Bank of Nova Scotia and LPAC Corp. (filed here within).</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10.11</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94"/>
              </w:rPr>
              <w:t>— Receivables Purchase Agreement dated as of June 27, 2003 among LPAC Corp. II, Lennox Industries Inc., Jupiter</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5"/>
              </w:rPr>
              <w:t>Securitization Corporation, The Financial Institutions from time to time parties thereto, and Bank One, NA. (filed as</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Exhibit 10.3 to LII’s Quarterly Report on Form 10-Q for the quarterly period ended June 30, 2003 and incorporated herein</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10.12</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90"/>
              </w:rPr>
              <w:t>— Amendment No. 1 to Receivables Purchase Agreement dated as of September 11, 2003 among LPAC Corp. II, Lennox</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2"/>
              </w:rPr>
              <w:t>Industries Inc., Jupiter Securitization Corporation, The Financial Institutions from time to time parties thereto, and Bank</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One, NA. (filed as Exhibit 10.2 to LII’s Quarterly Report on Form 10-Q for the quarterly period ended September 30, 2003</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and incorporated herein by reference).</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10.13</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7"/>
              </w:rPr>
              <w:t>— Amendment No. 2 to Receivables Purchase Agreement dated as of June 25, 2004 among LPAC Corp. II, Lennox Industries</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2"/>
              </w:rPr>
              <w:t>Inc., Jupiter Securitization Corporation, The Financial Institutions from time to time parties thereto, and Bank One, NA.</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(filed herewith).</w:t>
            </w:r>
          </w:p>
        </w:tc>
      </w:tr>
      <w:tr>
        <w:trPr>
          <w:trHeight w:val="191"/>
        </w:trPr>
        <w:tc>
          <w:tcPr>
            <w:tcW w:w="3260" w:type="dxa"/>
            <w:vAlign w:val="bottom"/>
          </w:tcPr>
          <w:p>
            <w:pPr>
              <w:jc w:val="right"/>
              <w:ind w:right="1384"/>
              <w:spacing w:after="0"/>
              <w:rPr>
                <w:sz w:val="20"/>
                <w:szCs w:val="20"/>
                <w:color w:val="auto"/>
              </w:rPr>
            </w:pPr>
            <w:r>
              <w:rPr>
                <w:rFonts w:ascii="Arial" w:cs="Arial" w:eastAsia="Arial" w:hAnsi="Arial"/>
                <w:sz w:val="16"/>
                <w:szCs w:val="16"/>
                <w:color w:val="auto"/>
              </w:rPr>
              <w:t>10.14</w:t>
            </w:r>
          </w:p>
        </w:tc>
        <w:tc>
          <w:tcPr>
            <w:tcW w:w="3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6"/>
                <w:szCs w:val="16"/>
                <w:color w:val="auto"/>
                <w:w w:val="89"/>
              </w:rPr>
              <w:t>— Amendment No. 1 to Receivables Sale Agreement dated as September 11, 2003 among Armstrong Air Conditioning Inc.,</w:t>
            </w:r>
          </w:p>
        </w:tc>
      </w:tr>
      <w:tr>
        <w:trPr>
          <w:trHeight w:val="191"/>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w w:val="90"/>
              </w:rPr>
              <w:t>and Lennox Hearth Products Inc., and LPAC Corp. II (filed as Exhibit 10.3 to LII’s Quarterly Report on Form 10-Q for the</w:t>
            </w:r>
          </w:p>
        </w:tc>
      </w:tr>
      <w:tr>
        <w:trPr>
          <w:trHeight w:val="196"/>
        </w:trPr>
        <w:tc>
          <w:tcPr>
            <w:tcW w:w="3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tcPr>
          <w:p>
            <w:pPr>
              <w:ind w:left="120"/>
              <w:spacing w:after="0"/>
              <w:rPr>
                <w:sz w:val="20"/>
                <w:szCs w:val="20"/>
                <w:color w:val="auto"/>
              </w:rPr>
            </w:pPr>
            <w:r>
              <w:rPr>
                <w:rFonts w:ascii="Arial" w:cs="Arial" w:eastAsia="Arial" w:hAnsi="Arial"/>
                <w:sz w:val="16"/>
                <w:szCs w:val="16"/>
                <w:color w:val="auto"/>
              </w:rPr>
              <w:t>quarterly period ended September 30, 2003 and incorporated herein by reference).</w:t>
            </w:r>
          </w:p>
        </w:tc>
      </w:tr>
      <w:tr>
        <w:trPr>
          <w:trHeight w:val="382"/>
        </w:trPr>
        <w:tc>
          <w:tcPr>
            <w:tcW w:w="3260" w:type="dxa"/>
            <w:vAlign w:val="bottom"/>
          </w:tcPr>
          <w:p>
            <w:pPr>
              <w:spacing w:after="0"/>
              <w:rPr>
                <w:sz w:val="24"/>
                <w:szCs w:val="24"/>
                <w:color w:val="auto"/>
              </w:rPr>
            </w:pPr>
          </w:p>
        </w:tc>
        <w:tc>
          <w:tcPr>
            <w:tcW w:w="8180" w:type="dxa"/>
            <w:vAlign w:val="bottom"/>
            <w:gridSpan w:val="2"/>
          </w:tcPr>
          <w:p>
            <w:pPr>
              <w:jc w:val="right"/>
              <w:ind w:right="5563"/>
              <w:spacing w:after="0"/>
              <w:rPr>
                <w:sz w:val="20"/>
                <w:szCs w:val="20"/>
                <w:color w:val="auto"/>
              </w:rPr>
            </w:pPr>
            <w:r>
              <w:rPr>
                <w:rFonts w:ascii="Arial" w:cs="Arial" w:eastAsia="Arial" w:hAnsi="Arial"/>
                <w:sz w:val="16"/>
                <w:szCs w:val="16"/>
                <w:color w:val="auto"/>
              </w:rPr>
              <w:t>88</w:t>
            </w:r>
          </w:p>
        </w:tc>
      </w:tr>
      <w:tr>
        <w:trPr>
          <w:trHeight w:val="200"/>
        </w:trPr>
        <w:tc>
          <w:tcPr>
            <w:tcW w:w="32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8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00" w:type="dxa"/>
            <w:vAlign w:val="bottom"/>
          </w:tcPr>
          <w:p>
            <w:pPr>
              <w:jc w:val="right"/>
              <w:ind w:right="1164"/>
              <w:spacing w:after="0"/>
              <w:rPr>
                <w:sz w:val="20"/>
                <w:szCs w:val="20"/>
                <w:color w:val="auto"/>
              </w:rPr>
            </w:pPr>
            <w:r>
              <w:rPr>
                <w:rFonts w:ascii="Arial" w:cs="Arial" w:eastAsia="Arial" w:hAnsi="Arial"/>
                <w:sz w:val="12"/>
                <w:szCs w:val="12"/>
                <w:b w:val="1"/>
                <w:bCs w:val="1"/>
                <w:color w:val="auto"/>
              </w:rPr>
              <w:t>Exhibit Number</w:t>
            </w:r>
          </w:p>
        </w:tc>
        <w:tc>
          <w:tcPr>
            <w:tcW w:w="340" w:type="dxa"/>
            <w:vAlign w:val="bottom"/>
          </w:tcPr>
          <w:p>
            <w:pPr>
              <w:spacing w:after="0"/>
              <w:rPr>
                <w:sz w:val="13"/>
                <w:szCs w:val="13"/>
                <w:color w:val="auto"/>
              </w:rPr>
            </w:pPr>
          </w:p>
        </w:tc>
        <w:tc>
          <w:tcPr>
            <w:tcW w:w="7800" w:type="dxa"/>
            <w:vAlign w:val="bottom"/>
          </w:tcPr>
          <w:p>
            <w:pPr>
              <w:ind w:left="3540"/>
              <w:spacing w:after="0"/>
              <w:rPr>
                <w:sz w:val="20"/>
                <w:szCs w:val="20"/>
                <w:color w:val="auto"/>
              </w:rPr>
            </w:pPr>
            <w:r>
              <w:rPr>
                <w:rFonts w:ascii="Arial" w:cs="Arial" w:eastAsia="Arial" w:hAnsi="Arial"/>
                <w:sz w:val="12"/>
                <w:szCs w:val="12"/>
                <w:b w:val="1"/>
                <w:bCs w:val="1"/>
                <w:color w:val="auto"/>
              </w:rPr>
              <w:t>Exhibit Name</w:t>
            </w:r>
          </w:p>
        </w:tc>
      </w:tr>
      <w:tr>
        <w:trPr>
          <w:trHeight w:val="83"/>
        </w:trPr>
        <w:tc>
          <w:tcPr>
            <w:tcW w:w="33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7800" w:type="dxa"/>
            <w:vAlign w:val="bottom"/>
            <w:tcBorders>
              <w:bottom w:val="single" w:sz="8" w:color="808080"/>
            </w:tcBorders>
          </w:tcPr>
          <w:p>
            <w:pPr>
              <w:spacing w:after="0"/>
              <w:rPr>
                <w:sz w:val="7"/>
                <w:szCs w:val="7"/>
                <w:color w:val="auto"/>
              </w:rPr>
            </w:pPr>
          </w:p>
        </w:tc>
      </w:tr>
      <w:tr>
        <w:trPr>
          <w:trHeight w:val="27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10.15</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89"/>
              </w:rPr>
              <w:t>— Joint Venture and Members Agreement dated July 18, 2002, between LII, Outokumpu Copper Products Oy, Outokumpu</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1"/>
              </w:rPr>
              <w:t>Copper Holdings, Inc. and Heatcraft Heat Transfer LLC (filed as Exhibit 10.7 to LII’s Quarterly Report on Form 10-Q for</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the quarterly period ended September 30, 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10.16</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5"/>
              </w:rPr>
              <w:t>— Shareholders Agreement dated July 18, 2002, between LGL Holland B.V., Outokumpu Copper Products Oy and</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2"/>
              </w:rPr>
              <w:t>Outokumpu Heatcraft B.V. (filed as Exhibit 10.8 to LII’s Quarterly Report on Form 10-Q for the quarterly period ended</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September 30, 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10.17</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3"/>
              </w:rPr>
              <w:t>— Shared Services Agreement dated August 30, 2002, between LII, Outokumpu Heatcraft USA LLC and Outokumpu</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0"/>
              </w:rPr>
              <w:t>Heatcraft B.V. (filed as Exhibit 10.9 to LII’s Quarterly Report on Form 10-Q for the quarterly period ended September 30,</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10.18</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89"/>
              </w:rPr>
              <w:t>— Joint Technology Development Agreement, dated August 30, 2002, between LII, Outokumpu Oyj, Outokumpu Heatcraft</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1"/>
              </w:rPr>
              <w:t>USA LLC, Outokumpu Heatcraft B.V. and Advanced Heat Transfer LLC (filed as Exhibit 10.10 to LII’s Quarterly Report</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on Form 10-Q for the quarterly period ended September 30, 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10.19*</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4"/>
              </w:rPr>
              <w:t>— 1998 Incentive Plan of Lennox International Inc. (filed as Exhibit 10.8 to LII’s Registration Statement on Form S-1</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(Registration No. 333-75725)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10.20*</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0"/>
              </w:rPr>
              <w:t>— Amendment, dated as of December 15, 2000, to 1998 Incentive Plan of Lennox International Inc. (filed as Exhibit 10.18</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89"/>
              </w:rPr>
              <w:t>to LII’s Annual Report on Form 10-K for the fiscal year ended December 31, 2000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10.21*</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4"/>
              </w:rPr>
              <w:t>— Amendment dated May 17, 2002, to 1998 Incentive Plan of Lennox International Inc. (filed as Exhibit 10.19 to LII’s</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5"/>
              </w:rPr>
              <w:t>Annual Report on Form 10-K for the fiscal year ended December 31, 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10.22*</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6"/>
              </w:rPr>
              <w:t>— Lennox International Inc. Profit Sharing Restoration Plan (filed as Exhibit 10.9 to LII’s Registration Statement on</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Form S-1 (Registration No. 333-75725)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10.23*</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89"/>
              </w:rPr>
              <w:t>— Lennox International Inc. Supplemental Executive Retirement Plan (filed as Exhibit 10.10 to LII’s Registration Statement</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on Form S-1 (Registration No. 333-75725)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10.24*</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4"/>
              </w:rPr>
              <w:t>— Lennox International Inc. Non-employee Directors’ Compensation and Deferral Plan (filed as Exhibit 10.22 to LII’s</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5"/>
              </w:rPr>
              <w:t>Annual Report on Form 10-K for the fiscal year ended December 31, 2002 and incorporated 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10.25*</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89"/>
              </w:rPr>
              <w:t>— Amendment dated May 17, 2002, to Lennox International Inc. Non-employee Directors’ Compensation and Deferral Plan</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89"/>
              </w:rPr>
              <w:t>(filed as Exhibit 10.23 to LII’s Annual Report on Form 10-K for the fiscal year ended December 31, 2002 and incorporated</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herein by 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10.26*</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5"/>
              </w:rPr>
              <w:t>— Form of Indemnification Agreement entered into between LII and certain executive officers and directors (filed as</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4"/>
              </w:rPr>
              <w:t>Exhibit 10.15 to LII’s Registration Statement on Form S-1 (Registration No. 333-75725) and incorporated herein by</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10.27*</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0"/>
              </w:rPr>
              <w:t>— Form of revised Employment Agreement entered into between LII and certain executive officers (filed as Exhibit 10.1 to</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w w:val="94"/>
              </w:rPr>
              <w:t>LII’s Quarterly Report on Form 10-Q for the quarterly period ended September 30, 2000 and incorporated herein by</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reference).</w:t>
            </w:r>
          </w:p>
        </w:tc>
      </w:tr>
      <w:tr>
        <w:trPr>
          <w:trHeight w:val="191"/>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10.28*</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w w:val="95"/>
              </w:rPr>
              <w:t>— Form of Amended and Restated Change of Control Employment Agreement entered into between LII and certain</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executive officers (filed as Exhibit 10.2 to LII’s Quarterly Report on Form 10-Q for the quarterly period ended</w:t>
            </w: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ind w:left="120"/>
              <w:spacing w:after="0"/>
              <w:rPr>
                <w:sz w:val="20"/>
                <w:szCs w:val="20"/>
                <w:color w:val="auto"/>
              </w:rPr>
            </w:pPr>
            <w:r>
              <w:rPr>
                <w:rFonts w:ascii="Arial" w:cs="Arial" w:eastAsia="Arial" w:hAnsi="Arial"/>
                <w:sz w:val="16"/>
                <w:szCs w:val="16"/>
                <w:color w:val="auto"/>
              </w:rPr>
              <w:t>September 30, 2000 and incorporated herein by reference).</w:t>
            </w:r>
          </w:p>
        </w:tc>
      </w:tr>
      <w:tr>
        <w:trPr>
          <w:trHeight w:val="196"/>
        </w:trPr>
        <w:tc>
          <w:tcPr>
            <w:tcW w:w="3300" w:type="dxa"/>
            <w:vAlign w:val="bottom"/>
          </w:tcPr>
          <w:p>
            <w:pPr>
              <w:jc w:val="right"/>
              <w:ind w:right="1364"/>
              <w:spacing w:after="0"/>
              <w:rPr>
                <w:sz w:val="20"/>
                <w:szCs w:val="20"/>
                <w:color w:val="auto"/>
              </w:rPr>
            </w:pPr>
            <w:r>
              <w:rPr>
                <w:rFonts w:ascii="Arial" w:cs="Arial" w:eastAsia="Arial" w:hAnsi="Arial"/>
                <w:sz w:val="16"/>
                <w:szCs w:val="16"/>
                <w:color w:val="auto"/>
              </w:rPr>
              <w:t>12.1</w:t>
            </w:r>
          </w:p>
        </w:tc>
        <w:tc>
          <w:tcPr>
            <w:tcW w:w="8140" w:type="dxa"/>
            <w:vAlign w:val="bottom"/>
            <w:gridSpan w:val="2"/>
          </w:tcPr>
          <w:p>
            <w:pPr>
              <w:ind w:left="340"/>
              <w:spacing w:after="0"/>
              <w:rPr>
                <w:sz w:val="20"/>
                <w:szCs w:val="20"/>
                <w:color w:val="auto"/>
              </w:rPr>
            </w:pPr>
            <w:r>
              <w:rPr>
                <w:rFonts w:ascii="Arial" w:cs="Arial" w:eastAsia="Arial" w:hAnsi="Arial"/>
                <w:sz w:val="16"/>
                <w:szCs w:val="16"/>
                <w:color w:val="auto"/>
              </w:rPr>
              <w:t>— Computation of Ratio of Earnings to Fixed Charges (filed herewith).</w:t>
            </w:r>
          </w:p>
        </w:tc>
      </w:tr>
      <w:tr>
        <w:trPr>
          <w:trHeight w:val="382"/>
        </w:trPr>
        <w:tc>
          <w:tcPr>
            <w:tcW w:w="3300" w:type="dxa"/>
            <w:vAlign w:val="bottom"/>
          </w:tcPr>
          <w:p>
            <w:pPr>
              <w:spacing w:after="0"/>
              <w:rPr>
                <w:sz w:val="24"/>
                <w:szCs w:val="24"/>
                <w:color w:val="auto"/>
              </w:rPr>
            </w:pPr>
          </w:p>
        </w:tc>
        <w:tc>
          <w:tcPr>
            <w:tcW w:w="8140" w:type="dxa"/>
            <w:vAlign w:val="bottom"/>
            <w:gridSpan w:val="2"/>
          </w:tcPr>
          <w:p>
            <w:pPr>
              <w:ind w:left="2340"/>
              <w:spacing w:after="0"/>
              <w:rPr>
                <w:sz w:val="20"/>
                <w:szCs w:val="20"/>
                <w:color w:val="auto"/>
              </w:rPr>
            </w:pPr>
            <w:r>
              <w:rPr>
                <w:rFonts w:ascii="Arial" w:cs="Arial" w:eastAsia="Arial" w:hAnsi="Arial"/>
                <w:sz w:val="16"/>
                <w:szCs w:val="16"/>
                <w:color w:val="auto"/>
              </w:rPr>
              <w:t>89</w:t>
            </w:r>
          </w:p>
        </w:tc>
      </w:tr>
      <w:tr>
        <w:trPr>
          <w:trHeight w:val="200"/>
        </w:trPr>
        <w:tc>
          <w:tcPr>
            <w:tcW w:w="33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86" w:right="219" w:bottom="1440" w:gutter="0" w:footer="0" w:header="0"/>
        </w:sectPr>
      </w:pPr>
    </w:p>
    <w:bookmarkStart w:id="93" w:name="page94"/>
    <w:bookmarkEnd w:id="93"/>
    <w:p>
      <w:pPr>
        <w:ind w:left="5"/>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3200" w:type="dxa"/>
            <w:vAlign w:val="bottom"/>
          </w:tcPr>
          <w:p>
            <w:pPr>
              <w:jc w:val="center"/>
              <w:spacing w:after="0"/>
              <w:rPr>
                <w:sz w:val="20"/>
                <w:szCs w:val="20"/>
                <w:color w:val="auto"/>
              </w:rPr>
            </w:pPr>
            <w:r>
              <w:rPr>
                <w:rFonts w:ascii="Arial" w:cs="Arial" w:eastAsia="Arial" w:hAnsi="Arial"/>
                <w:sz w:val="12"/>
                <w:szCs w:val="12"/>
                <w:b w:val="1"/>
                <w:bCs w:val="1"/>
                <w:color w:val="auto"/>
                <w:w w:val="92"/>
              </w:rPr>
              <w:t>Exhibit Number</w:t>
            </w:r>
          </w:p>
        </w:tc>
        <w:tc>
          <w:tcPr>
            <w:tcW w:w="320" w:type="dxa"/>
            <w:vAlign w:val="bottom"/>
          </w:tcPr>
          <w:p>
            <w:pPr>
              <w:spacing w:after="0"/>
              <w:rPr>
                <w:sz w:val="13"/>
                <w:szCs w:val="13"/>
                <w:color w:val="auto"/>
              </w:rPr>
            </w:pPr>
          </w:p>
        </w:tc>
        <w:tc>
          <w:tcPr>
            <w:tcW w:w="7920" w:type="dxa"/>
            <w:vAlign w:val="bottom"/>
          </w:tcPr>
          <w:p>
            <w:pPr>
              <w:ind w:left="3600"/>
              <w:spacing w:after="0"/>
              <w:rPr>
                <w:sz w:val="20"/>
                <w:szCs w:val="20"/>
                <w:color w:val="auto"/>
              </w:rPr>
            </w:pPr>
            <w:r>
              <w:rPr>
                <w:rFonts w:ascii="Arial" w:cs="Arial" w:eastAsia="Arial" w:hAnsi="Arial"/>
                <w:sz w:val="12"/>
                <w:szCs w:val="12"/>
                <w:b w:val="1"/>
                <w:bCs w:val="1"/>
                <w:color w:val="auto"/>
              </w:rPr>
              <w:t>Exhibit Name</w:t>
            </w:r>
          </w:p>
        </w:tc>
      </w:tr>
      <w:tr>
        <w:trPr>
          <w:trHeight w:val="83"/>
        </w:trPr>
        <w:tc>
          <w:tcPr>
            <w:tcW w:w="320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7920" w:type="dxa"/>
            <w:vAlign w:val="bottom"/>
            <w:tcBorders>
              <w:bottom w:val="single" w:sz="8" w:color="808080"/>
            </w:tcBorders>
          </w:tcPr>
          <w:p>
            <w:pPr>
              <w:spacing w:after="0"/>
              <w:rPr>
                <w:sz w:val="7"/>
                <w:szCs w:val="7"/>
                <w:color w:val="auto"/>
              </w:rPr>
            </w:pPr>
          </w:p>
        </w:tc>
      </w:tr>
      <w:tr>
        <w:trPr>
          <w:trHeight w:val="27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21.1</w:t>
            </w:r>
          </w:p>
        </w:tc>
        <w:tc>
          <w:tcPr>
            <w:tcW w:w="320" w:type="dxa"/>
            <w:vAlign w:val="bottom"/>
          </w:tcPr>
          <w:p>
            <w:pPr>
              <w:spacing w:after="0"/>
              <w:rPr>
                <w:sz w:val="23"/>
                <w:szCs w:val="23"/>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Subsidiaries of LII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23.1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Consent of KPMG LLP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31.1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Certification of the principal executive officer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31.2</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Certification of the principal financial officer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32.1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w w:val="93"/>
              </w:rPr>
              <w:t>— Certification of the principal executive officer and the principal financial officer of the Company pursuant to 18 U.S.C.</w:t>
            </w:r>
          </w:p>
        </w:tc>
      </w:tr>
      <w:tr>
        <w:trPr>
          <w:trHeight w:val="191"/>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Section 1350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99.1</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Information regarding the Directors of the Company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99.2</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Executive Compensation Information (filed herewith).</w:t>
            </w:r>
          </w:p>
        </w:tc>
      </w:tr>
      <w:tr>
        <w:trPr>
          <w:trHeight w:val="191"/>
        </w:trPr>
        <w:tc>
          <w:tcPr>
            <w:tcW w:w="3200" w:type="dxa"/>
            <w:vAlign w:val="bottom"/>
          </w:tcPr>
          <w:p>
            <w:pPr>
              <w:jc w:val="center"/>
              <w:spacing w:after="0"/>
              <w:rPr>
                <w:sz w:val="20"/>
                <w:szCs w:val="20"/>
                <w:color w:val="auto"/>
              </w:rPr>
            </w:pPr>
            <w:r>
              <w:rPr>
                <w:rFonts w:ascii="Arial" w:cs="Arial" w:eastAsia="Arial" w:hAnsi="Arial"/>
                <w:sz w:val="16"/>
                <w:szCs w:val="16"/>
                <w:color w:val="auto"/>
                <w:w w:val="83"/>
              </w:rPr>
              <w:t>99.3</w:t>
            </w:r>
          </w:p>
        </w:tc>
        <w:tc>
          <w:tcPr>
            <w:tcW w:w="3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Beneficial Ownership of Common Stock (filed herewith).</w:t>
            </w:r>
          </w:p>
        </w:tc>
      </w:tr>
      <w:tr>
        <w:trPr>
          <w:trHeight w:val="196"/>
        </w:trPr>
        <w:tc>
          <w:tcPr>
            <w:tcW w:w="3200" w:type="dxa"/>
            <w:vAlign w:val="bottom"/>
          </w:tcPr>
          <w:p>
            <w:pPr>
              <w:jc w:val="center"/>
              <w:spacing w:after="0"/>
              <w:rPr>
                <w:sz w:val="20"/>
                <w:szCs w:val="20"/>
                <w:color w:val="auto"/>
              </w:rPr>
            </w:pPr>
            <w:r>
              <w:rPr>
                <w:rFonts w:ascii="Arial" w:cs="Arial" w:eastAsia="Arial" w:hAnsi="Arial"/>
                <w:sz w:val="16"/>
                <w:szCs w:val="16"/>
                <w:color w:val="auto"/>
                <w:w w:val="83"/>
              </w:rPr>
              <w:t>99.4</w:t>
            </w:r>
          </w:p>
        </w:tc>
        <w:tc>
          <w:tcPr>
            <w:tcW w:w="3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 Principal Accounting Fees and Services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325245"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68" w:lineRule="exact"/>
        <w:rPr>
          <w:sz w:val="20"/>
          <w:szCs w:val="20"/>
          <w:color w:val="auto"/>
        </w:rPr>
      </w:pPr>
    </w:p>
    <w:p>
      <w:pPr>
        <w:ind w:left="5645" w:right="2600" w:hanging="5645"/>
        <w:spacing w:after="0" w:line="513" w:lineRule="auto"/>
        <w:tabs>
          <w:tab w:leader="none" w:pos="242"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Management contracts and compensatory plans and arrangements required to be filed as exhibits to this Form 10-K pursuant to Item 14(c). 90</w:t>
      </w:r>
    </w:p>
    <w:p>
      <w:pPr>
        <w:sectPr>
          <w:pgSz w:w="11900" w:h="16838" w:orient="portrait"/>
          <w:cols w:equalWidth="0" w:num="1">
            <w:col w:w="11445"/>
          </w:cols>
          <w:pgMar w:left="235" w:top="386" w:right="219" w:bottom="1440" w:gutter="0" w:footer="0" w:header="0"/>
        </w:sectPr>
      </w:pPr>
    </w:p>
    <w:bookmarkStart w:id="94" w:name="page95"/>
    <w:bookmarkEnd w:id="94"/>
    <w:p>
      <w:pPr>
        <w:jc w:val="right"/>
        <w:ind w:right="2779"/>
        <w:spacing w:after="0"/>
        <w:rPr>
          <w:sz w:val="20"/>
          <w:szCs w:val="20"/>
          <w:color w:val="auto"/>
        </w:rPr>
      </w:pPr>
      <w:r>
        <w:rPr>
          <w:rFonts w:ascii="Courier New" w:cs="Courier New" w:eastAsia="Courier New" w:hAnsi="Courier New"/>
          <w:sz w:val="16"/>
          <w:szCs w:val="16"/>
          <w:color w:val="auto"/>
        </w:rPr>
        <w:t>EXHIBIT 10.2</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FIRST AMENDMENT</w:t>
      </w:r>
    </w:p>
    <w:p>
      <w:pPr>
        <w:jc w:val="center"/>
        <w:ind w:right="2699"/>
        <w:spacing w:after="0" w:line="236" w:lineRule="auto"/>
        <w:rPr>
          <w:sz w:val="20"/>
          <w:szCs w:val="20"/>
          <w:color w:val="auto"/>
        </w:rPr>
      </w:pPr>
      <w:r>
        <w:rPr>
          <w:rFonts w:ascii="Courier New" w:cs="Courier New" w:eastAsia="Courier New" w:hAnsi="Courier New"/>
          <w:sz w:val="16"/>
          <w:szCs w:val="16"/>
          <w:color w:val="auto"/>
        </w:rPr>
        <w:t>TO AMENDED AND RESTATED REVOLVING CREDIT FACILITY AGREEMENT</w:t>
      </w:r>
    </w:p>
    <w:p>
      <w:pPr>
        <w:spacing w:after="0" w:line="183"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THIS FIRST AMENDMENT TO AMENDED AND RESTATED REVOLVING CREDIT FACILITY AGREEMENT (the "Amendment"), dated as of August 27, 2004 is among LENNOX INTERNATIONAL INC., a Delaware corporation (the "Borrower"), the lenders party hereto, and JPMORGAN CHASE BANK, as administrative agent (the "Administrative Agent").</w:t>
      </w:r>
    </w:p>
    <w:p>
      <w:pPr>
        <w:spacing w:after="0" w:line="18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The Borrower, the Administrative Agent, and the lenders party thereto have entered into that certain Amended and Restated Revolving Credit Facility Agreement dated as of September 11, 2003 (as amended or otherwise modified from time to time, the "Agreement"). The Borrower has requested that the Administrative Agent and the Lenders amend certain provisions of the Agreement. Subject to satisfaction of the conditions set forth herein, the Administrative Agent and the Lenders party hereto are willing to amend the Agreement as herein set forth.</w:t>
      </w:r>
    </w:p>
    <w:p>
      <w:pPr>
        <w:spacing w:after="0" w:line="184"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NOW, THEREFORE, in consideration of the premises herein contained and other good and valuable consideration, the receipt and sufficiency of which are hereby acknowledged, the parties hereto agree as follows effective as of the date hereof unless otherwise indicated:</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Section 1.1. Definitions. Capitalized terms used in this Amendment, to the extent not otherwise defined herein, shall have the same meanings as in the Agreement, as amended hereby.</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Amendments</w:t>
      </w:r>
    </w:p>
    <w:p>
      <w:pPr>
        <w:spacing w:after="0" w:line="183"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2.1. Amendment to Section 1.01 [Defined Terms]. The definition of the term "Senior Financial Officer" contained in Section 1.01 of the Agreement is amended to read as follows:</w:t>
      </w:r>
    </w:p>
    <w:p>
      <w:pPr>
        <w:spacing w:after="0" w:line="183" w:lineRule="exact"/>
        <w:rPr>
          <w:sz w:val="20"/>
          <w:szCs w:val="20"/>
          <w:color w:val="auto"/>
        </w:rPr>
      </w:pPr>
    </w:p>
    <w:p>
      <w:pPr>
        <w:ind w:left="560" w:right="3059" w:firstLine="558"/>
        <w:spacing w:after="0" w:line="236" w:lineRule="auto"/>
        <w:rPr>
          <w:sz w:val="20"/>
          <w:szCs w:val="20"/>
          <w:color w:val="auto"/>
        </w:rPr>
      </w:pPr>
      <w:r>
        <w:rPr>
          <w:rFonts w:ascii="Courier New" w:cs="Courier New" w:eastAsia="Courier New" w:hAnsi="Courier New"/>
          <w:sz w:val="16"/>
          <w:szCs w:val="16"/>
          <w:color w:val="auto"/>
        </w:rPr>
        <w:t>"Senior Financial Officer" means the chief financial officer, principal accounting officer, treasurer, assistant treasurer, or controller of the Borrower; provided that any executive vice president, the treasurer, any assistant treasurer, or the corporate controller of Borrower is authorized by Borrower to execute and deliver any Borrowing Request.</w:t>
      </w:r>
    </w:p>
    <w:p>
      <w:pPr>
        <w:spacing w:after="0" w:line="183"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2.2. Amendment to Section 2.19 [Letters of Credit]. The reference to "$100,000,000" in the last sentence of clause (a) of Section 2.19 of the Agreement is amended to read "$125,000,000".</w:t>
      </w:r>
    </w:p>
    <w:p>
      <w:pPr>
        <w:spacing w:after="0" w:line="183"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2.3. Amendment to Section 5.23 [Investments, Loans, Advances, Guarantees and Acquisitions]. Section 5.23 of the Agreement is amended as follows: (i) the "and" at the end of clause (j) is deleted; (ii) the "." at the end of subclause (v) of clause (k) is deleted and replaced with "; and" and (iii) the following clause (l) is added to the end of Section 5.23.</w:t>
      </w:r>
    </w:p>
    <w:p>
      <w:pPr>
        <w:spacing w:after="0" w:line="186" w:lineRule="exact"/>
        <w:rPr>
          <w:sz w:val="20"/>
          <w:szCs w:val="20"/>
          <w:color w:val="auto"/>
        </w:rPr>
      </w:pPr>
    </w:p>
    <w:p>
      <w:pPr>
        <w:ind w:left="560" w:right="2879" w:firstLine="552"/>
        <w:spacing w:after="0" w:line="235" w:lineRule="auto"/>
        <w:tabs>
          <w:tab w:leader="none" w:pos="149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payable to Service Experts, Inc. or any of its Subsidiaries received in connection with the sale of their assets; provided that (i) the applicable asset sale is permitted under the terms of Section 5.11 and (ii) the aggregate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1</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493" w:right="1440" w:bottom="1440" w:gutter="0" w:footer="0" w:header="0"/>
        </w:sectPr>
      </w:pPr>
    </w:p>
    <w:bookmarkStart w:id="95" w:name="page96"/>
    <w:bookmarkEnd w:id="95"/>
    <w:p>
      <w:pPr>
        <w:ind w:left="565" w:right="3339"/>
        <w:spacing w:after="0" w:line="234" w:lineRule="auto"/>
        <w:rPr>
          <w:sz w:val="20"/>
          <w:szCs w:val="20"/>
          <w:color w:val="auto"/>
        </w:rPr>
      </w:pPr>
      <w:r>
        <w:rPr>
          <w:rFonts w:ascii="Courier New" w:cs="Courier New" w:eastAsia="Courier New" w:hAnsi="Courier New"/>
          <w:sz w:val="16"/>
          <w:szCs w:val="16"/>
          <w:color w:val="auto"/>
        </w:rPr>
        <w:t>Dollar Equivalent of the principal amount outstanding under all such promissory notes does not exceed $20,000,000 at any time.</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ARTICLE III.</w:t>
      </w:r>
    </w:p>
    <w:p>
      <w:pPr>
        <w:spacing w:after="0" w:line="177"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Conditions Precedent</w:t>
      </w:r>
    </w:p>
    <w:p>
      <w:pPr>
        <w:spacing w:after="0" w:line="183" w:lineRule="exact"/>
        <w:rPr>
          <w:sz w:val="20"/>
          <w:szCs w:val="20"/>
          <w:color w:val="auto"/>
        </w:rPr>
      </w:pPr>
    </w:p>
    <w:p>
      <w:pPr>
        <w:ind w:left="5" w:right="2779" w:firstLine="558"/>
        <w:spacing w:after="0" w:line="295" w:lineRule="auto"/>
        <w:rPr>
          <w:sz w:val="20"/>
          <w:szCs w:val="20"/>
          <w:color w:val="auto"/>
        </w:rPr>
      </w:pPr>
      <w:r>
        <w:rPr>
          <w:rFonts w:ascii="Courier New" w:cs="Courier New" w:eastAsia="Courier New" w:hAnsi="Courier New"/>
          <w:sz w:val="14"/>
          <w:szCs w:val="14"/>
          <w:color w:val="auto"/>
        </w:rPr>
        <w:t>Section 3.1. Conditions. The effectiveness of Article II of this Amendment is subject to the satisfaction of the following conditions precedent:</w:t>
      </w:r>
    </w:p>
    <w:p>
      <w:pPr>
        <w:spacing w:after="0" w:line="147" w:lineRule="exact"/>
        <w:rPr>
          <w:sz w:val="20"/>
          <w:szCs w:val="20"/>
          <w:color w:val="auto"/>
        </w:rPr>
      </w:pPr>
    </w:p>
    <w:p>
      <w:pPr>
        <w:ind w:left="5" w:right="3059" w:firstLine="740"/>
        <w:spacing w:after="0" w:line="295" w:lineRule="auto"/>
        <w:tabs>
          <w:tab w:leader="none" w:pos="112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each in form and substance reasonably satisfactory to the Administrative Agent, the following:</w:t>
      </w:r>
    </w:p>
    <w:p>
      <w:pPr>
        <w:spacing w:after="0" w:line="146" w:lineRule="exact"/>
        <w:rPr>
          <w:rFonts w:ascii="Courier New" w:cs="Courier New" w:eastAsia="Courier New" w:hAnsi="Courier New"/>
          <w:sz w:val="14"/>
          <w:szCs w:val="14"/>
          <w:color w:val="auto"/>
        </w:rPr>
      </w:pPr>
    </w:p>
    <w:p>
      <w:pPr>
        <w:ind w:left="5" w:right="2779" w:firstLine="1112"/>
        <w:spacing w:after="0" w:line="234" w:lineRule="auto"/>
        <w:tabs>
          <w:tab w:leader="none" w:pos="149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duly executed by the Borrower, the Guarantors and the Required Lenders;</w:t>
      </w:r>
    </w:p>
    <w:p>
      <w:pPr>
        <w:spacing w:after="0" w:line="183" w:lineRule="exact"/>
        <w:rPr>
          <w:rFonts w:ascii="Courier New" w:cs="Courier New" w:eastAsia="Courier New" w:hAnsi="Courier New"/>
          <w:sz w:val="16"/>
          <w:szCs w:val="16"/>
          <w:color w:val="auto"/>
        </w:rPr>
      </w:pPr>
    </w:p>
    <w:p>
      <w:pPr>
        <w:ind w:left="5" w:right="2879" w:firstLine="1112"/>
        <w:spacing w:after="0" w:line="235" w:lineRule="auto"/>
        <w:tabs>
          <w:tab w:leader="none" w:pos="158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that all Persons who have the benefit of the provisions similar or substantially similar to the terms of Section 5.06 of the Agreement (including the holders of the notes under the Senior Note Purchase Agreements) shall have agree to amendments to their respective documents on the same terms as the amendments contemplated hereby; and</w:t>
      </w:r>
    </w:p>
    <w:p>
      <w:pPr>
        <w:spacing w:after="0" w:line="185" w:lineRule="exact"/>
        <w:rPr>
          <w:rFonts w:ascii="Courier New" w:cs="Courier New" w:eastAsia="Courier New" w:hAnsi="Courier New"/>
          <w:sz w:val="16"/>
          <w:szCs w:val="16"/>
          <w:color w:val="auto"/>
        </w:rPr>
      </w:pPr>
    </w:p>
    <w:p>
      <w:pPr>
        <w:ind w:left="5" w:right="2959" w:firstLine="1112"/>
        <w:spacing w:after="0" w:line="235" w:lineRule="auto"/>
        <w:tabs>
          <w:tab w:leader="none" w:pos="167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additional documentation and information as the Administrative Agent or its legal counsel, Jenkens &amp; Gilchrist, a Professional Corporation, may request;</w:t>
      </w:r>
    </w:p>
    <w:p>
      <w:pPr>
        <w:spacing w:after="0" w:line="183" w:lineRule="exact"/>
        <w:rPr>
          <w:rFonts w:ascii="Courier New" w:cs="Courier New" w:eastAsia="Courier New" w:hAnsi="Courier New"/>
          <w:sz w:val="16"/>
          <w:szCs w:val="16"/>
          <w:color w:val="auto"/>
        </w:rPr>
      </w:pPr>
    </w:p>
    <w:p>
      <w:pPr>
        <w:ind w:left="5" w:right="2779" w:firstLine="740"/>
        <w:spacing w:after="0" w:line="279" w:lineRule="auto"/>
        <w:tabs>
          <w:tab w:leader="none" w:pos="112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herein and in all other Loan Documents, as amended hereby, shall be true and correct in all material respects as of the date hereof as if made on the date hereof, except for such representations and warranties limited by their terms to a specific date;</w:t>
      </w:r>
    </w:p>
    <w:p>
      <w:pPr>
        <w:spacing w:after="0" w:line="150" w:lineRule="exact"/>
        <w:rPr>
          <w:rFonts w:ascii="Courier New" w:cs="Courier New" w:eastAsia="Courier New" w:hAnsi="Courier New"/>
          <w:sz w:val="14"/>
          <w:szCs w:val="14"/>
          <w:color w:val="auto"/>
        </w:rPr>
      </w:pPr>
    </w:p>
    <w:p>
      <w:pPr>
        <w:ind w:left="1125" w:hanging="380"/>
        <w:spacing w:after="0"/>
        <w:tabs>
          <w:tab w:leader="none" w:pos="112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exist; and</w:t>
      </w:r>
    </w:p>
    <w:p>
      <w:pPr>
        <w:spacing w:after="0" w:line="182" w:lineRule="exact"/>
        <w:rPr>
          <w:rFonts w:ascii="Courier New" w:cs="Courier New" w:eastAsia="Courier New" w:hAnsi="Courier New"/>
          <w:sz w:val="16"/>
          <w:szCs w:val="16"/>
          <w:color w:val="auto"/>
        </w:rPr>
      </w:pPr>
    </w:p>
    <w:p>
      <w:pPr>
        <w:ind w:left="5" w:right="2779" w:firstLine="740"/>
        <w:spacing w:after="0" w:line="235" w:lineRule="auto"/>
        <w:tabs>
          <w:tab w:leader="none" w:pos="11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proceedings taken in connection with the transactions contemplated by this Amendment and all documentation and other legal matters incident thereto shall be satisfactory to the Administrative Agent and its legal counsel, Jenkens &amp; Gilchrist, a Professional Corporation.</w:t>
      </w:r>
    </w:p>
    <w:p>
      <w:pPr>
        <w:spacing w:after="0" w:line="178"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ARTICLE IV.</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Section 4.1. Ratifications. Except as expressly modified and superseded by this Amendment, the terms and provisions of the Agreement and the other Loan Documents are ratified and confirmed and shall continue in full force and effect. The Borrower, the Administrative Agent and lenders party hereto agree that the Agreement as amended hereby and the other Loan Documents shall continue to be legal, valid, binding and enforceable in accordance with their respective terms. For all matters arising prior to the effective date of this Amendment, the Agreement (as unmodified by this Amendment) shall control.</w:t>
      </w:r>
    </w:p>
    <w:p>
      <w:pPr>
        <w:spacing w:after="0" w:line="184" w:lineRule="exact"/>
        <w:rPr>
          <w:sz w:val="20"/>
          <w:szCs w:val="20"/>
          <w:color w:val="auto"/>
        </w:rPr>
      </w:pPr>
    </w:p>
    <w:p>
      <w:pPr>
        <w:jc w:val="both"/>
        <w:ind w:left="5" w:right="2879" w:firstLine="558"/>
        <w:spacing w:after="0" w:line="270" w:lineRule="auto"/>
        <w:rPr>
          <w:sz w:val="20"/>
          <w:szCs w:val="20"/>
          <w:color w:val="auto"/>
        </w:rPr>
      </w:pPr>
      <w:r>
        <w:rPr>
          <w:rFonts w:ascii="Courier New" w:cs="Courier New" w:eastAsia="Courier New" w:hAnsi="Courier New"/>
          <w:sz w:val="14"/>
          <w:szCs w:val="14"/>
          <w:color w:val="auto"/>
        </w:rPr>
        <w:t>Section 4.2. Representations and Warranties; Release. The Borrower hereby represents and warrants to the Administrative Agent and the Lenders as follows:</w:t>
      </w:r>
    </w:p>
    <w:p>
      <w:pPr>
        <w:spacing w:after="0" w:line="1" w:lineRule="exact"/>
        <w:rPr>
          <w:sz w:val="20"/>
          <w:szCs w:val="20"/>
          <w:color w:val="auto"/>
        </w:rPr>
      </w:pPr>
    </w:p>
    <w:p>
      <w:pPr>
        <w:ind w:left="5" w:right="2779" w:hanging="5"/>
        <w:spacing w:after="0" w:line="236" w:lineRule="auto"/>
        <w:tabs>
          <w:tab w:leader="none" w:pos="37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exists and (b) the representations and warranties set forth in the Loan Documents are true and correct on and as of the date hereof with the same effect as though made on and as of such date except with respect to any representations and warranties limited by their terms to a specific date. IN ADDITION, TO INDUCE THE ADMINISTRATIVE AGENT AND THE LENDERS TO AGREE TO THE TERMS OF</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ind w:left="5"/>
        <w:spacing w:after="0" w:line="236" w:lineRule="auto"/>
        <w:rPr>
          <w:sz w:val="20"/>
          <w:szCs w:val="20"/>
          <w:color w:val="auto"/>
        </w:rPr>
      </w:pPr>
      <w:r>
        <w:rPr>
          <w:rFonts w:ascii="Courier New" w:cs="Courier New" w:eastAsia="Courier New" w:hAnsi="Courier New"/>
          <w:sz w:val="16"/>
          <w:szCs w:val="16"/>
          <w:color w:val="auto"/>
        </w:rPr>
        <w:t>AGREEMENT, Page 2</w:t>
      </w:r>
    </w:p>
    <w:p>
      <w:pPr>
        <w:ind w:left="5"/>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24"/>
          </w:cols>
          <w:pgMar w:left="235" w:top="654" w:right="1440" w:bottom="1440" w:gutter="0" w:footer="0" w:header="0"/>
        </w:sectPr>
      </w:pPr>
    </w:p>
    <w:bookmarkStart w:id="96" w:name="page97"/>
    <w:bookmarkEnd w:id="96"/>
    <w:p>
      <w:pPr>
        <w:ind w:right="2879"/>
        <w:spacing w:after="0" w:line="235" w:lineRule="auto"/>
        <w:rPr>
          <w:sz w:val="20"/>
          <w:szCs w:val="20"/>
          <w:color w:val="auto"/>
        </w:rPr>
      </w:pPr>
      <w:r>
        <w:rPr>
          <w:rFonts w:ascii="Courier New" w:cs="Courier New" w:eastAsia="Courier New" w:hAnsi="Courier New"/>
          <w:sz w:val="16"/>
          <w:szCs w:val="16"/>
          <w:color w:val="auto"/>
        </w:rPr>
        <w:t>THIS AMENDMENT, THE BORROWER AND EACH GUARANTOR (BY ITS EXECUTION BELOW) REPRESENTS AND WARRANTS THAT AS OF THE DATE OF ITS EXECUTION OF THIS AMENDMENT THERE ARE NO CLAIMS OR OFFSETS AGAINST OR RIGHTS OF RECOUPMENT WITH RESPECT TO OR DEFENSES OR COUNTERCLAIMS TO ITS OBLIGATIONS UNDER THE LOAN DOCUMENTS AND IN ACCORDANCE THEREWITH IT:</w:t>
      </w:r>
    </w:p>
    <w:p>
      <w:pPr>
        <w:spacing w:after="0" w:line="186" w:lineRule="exact"/>
        <w:rPr>
          <w:sz w:val="20"/>
          <w:szCs w:val="20"/>
          <w:color w:val="auto"/>
        </w:rPr>
      </w:pPr>
    </w:p>
    <w:p>
      <w:pPr>
        <w:ind w:right="2959" w:firstLine="1112"/>
        <w:spacing w:after="0" w:line="235" w:lineRule="auto"/>
        <w:tabs>
          <w:tab w:leader="none" w:pos="14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WAIVES ANY AND ALL SUCH CLAIMS, OFFSETS, RIGHTS OF RECOUPMENT, DEFENSES OR COUNTERCLAIMS, WHETHER KNOWN OR UNKNOWN, ARISING PRIOR TO THE DATE OF ITS EXECUTION OF THIS AMENDMENT AND</w:t>
      </w:r>
    </w:p>
    <w:p>
      <w:pPr>
        <w:spacing w:after="0" w:line="183" w:lineRule="exact"/>
        <w:rPr>
          <w:rFonts w:ascii="Courier New" w:cs="Courier New" w:eastAsia="Courier New" w:hAnsi="Courier New"/>
          <w:sz w:val="16"/>
          <w:szCs w:val="16"/>
          <w:color w:val="auto"/>
        </w:rPr>
      </w:pPr>
    </w:p>
    <w:p>
      <w:pPr>
        <w:ind w:right="2779" w:firstLine="1112"/>
        <w:spacing w:after="0" w:line="236" w:lineRule="auto"/>
        <w:tabs>
          <w:tab w:leader="none" w:pos="14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RELEASES AND DISCHARGES THE ADMINISTRATIVE AGENT AND THE LENDERS, AND THEIR RESPECTIVE OFFICERS, DIRECTORS, EMPLOYEES, AGENTS, SHAREHOLDERS, AFFILIATES AND ATTORNEYS (COLLECTIVELY THE "RELEASED PARTIES") FROM ANY AND ALL OBLIGATIONS, INDEBTEDNESS, LIABILITIES, CLAIMS, RIGHTS, CAUSES OF ACTION OR DEMANDS WHATSOEVER, WHETHER KNOWN OR UNKNOWN, SUSPECTED OR UNSUSPECTED, IN LAW OR EQUITY, WHICH THE BORROWER OR ANY GUARANTOR EVER HAD, NOW HAS, CLAIMS TO HAVE OR MAY HAVE AGAINST ANY RELEASED PARTY ARISING PRIOR TO THE DATE HEREOF AND FROM OR IN CONNECTION WITH THE LOAN DOCUMENTS OR THE TRANSACTIONS CONTEMPLATED THEREBY.</w:t>
      </w:r>
    </w:p>
    <w:p>
      <w:pPr>
        <w:spacing w:after="0" w:line="185"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4.3. Survival of Representations and Warranties. All representations and warranties made in this Amendment shall survive the execution and delivery of this Amendment, and no investigation by Administrative Agent or any Lender or any closing shall affect the representations and warranties or the right of the Administrative Agent or any Lender to rely upon them.</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4.4. Reference to Agreement. Each of the Loan Documents, including the Agreement and any and all other agreements, documents, or instruments now or hereafter executed and delivered pursuant to the terms hereof or pursuant to the terms of the Agreement as amended hereby, are hereby amended so that any reference in such Loan Documents to the Agreement shall mean a reference to the Agreement as amended hereby.</w:t>
      </w:r>
    </w:p>
    <w:p>
      <w:pPr>
        <w:spacing w:after="0" w:line="183"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Section 4.5. Severability.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85"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Section 4.6. Applicable Law. This Amendment shall be governed by and construed in accordance with the laws of the State of Texas and the applicable laws of the United States of America.</w:t>
      </w:r>
    </w:p>
    <w:p>
      <w:pPr>
        <w:spacing w:after="0" w:line="183" w:lineRule="exact"/>
        <w:rPr>
          <w:sz w:val="20"/>
          <w:szCs w:val="20"/>
          <w:color w:val="auto"/>
        </w:rPr>
      </w:pPr>
    </w:p>
    <w:p>
      <w:pPr>
        <w:ind w:right="2959" w:firstLine="558"/>
        <w:spacing w:after="0" w:line="276" w:lineRule="auto"/>
        <w:rPr>
          <w:sz w:val="20"/>
          <w:szCs w:val="20"/>
          <w:color w:val="auto"/>
        </w:rPr>
      </w:pPr>
      <w:r>
        <w:rPr>
          <w:rFonts w:ascii="Courier New" w:cs="Courier New" w:eastAsia="Courier New" w:hAnsi="Courier New"/>
          <w:sz w:val="14"/>
          <w:szCs w:val="14"/>
          <w:color w:val="auto"/>
        </w:rPr>
        <w:t>Section 4.7. Successors and Assigns. This Amendment is binding upon and shall inure to the benefit of the Administrative Agent, each Lender, the Borrower, each Guarantor and their respective successors and assigns, except neither Borrower nor any Guarantor may assign or transfer any of its rights or obligations hereunder without the prior written consent of the Lenders.</w:t>
      </w:r>
    </w:p>
    <w:p>
      <w:pPr>
        <w:spacing w:after="0" w:line="161"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4.8. Counterparts. This Amendment may be executed in one or more counterparts and on telecopy counterparts, each of which when so executed shall be deemed to be an original, but all of which when taken together shall constitute one and the same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3</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654" w:right="1440" w:bottom="1440" w:gutter="0" w:footer="0" w:header="0"/>
        </w:sectPr>
      </w:pPr>
    </w:p>
    <w:bookmarkStart w:id="97" w:name="page98"/>
    <w:bookmarkEnd w:id="97"/>
    <w:p>
      <w:pPr>
        <w:jc w:val="both"/>
        <w:ind w:right="2959" w:firstLine="558"/>
        <w:spacing w:after="0" w:line="235" w:lineRule="auto"/>
        <w:rPr>
          <w:sz w:val="20"/>
          <w:szCs w:val="20"/>
          <w:color w:val="auto"/>
        </w:rPr>
      </w:pPr>
      <w:r>
        <w:rPr>
          <w:rFonts w:ascii="Courier New" w:cs="Courier New" w:eastAsia="Courier New" w:hAnsi="Courier New"/>
          <w:sz w:val="16"/>
          <w:szCs w:val="16"/>
          <w:color w:val="auto"/>
        </w:rPr>
        <w:t>Section 4.9. Effect of Waiver. No consent or waiver, express or implied, by the Administrative Agent or any Lender to or for any breach of or deviation from any covenant, condition or duty by the Borrower or any Guarantor shall be deemed a consent or waiver to or of any other breach of the same or any other covenant, condition or duty.</w:t>
      </w:r>
    </w:p>
    <w:p>
      <w:pPr>
        <w:spacing w:after="0" w:line="186"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4.10. Headings. The headings, captions, and arrangements used in this Amendment are for convenience only and shall not affect the interpretation of this Amendment.</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4.11. ENTIRE AGREEMENT. THIS AMENDMENT EMBODIES THE FINAL, ENTIRE AGREEMENT AMONG THE PARTIES HERETO WITH RESPECT TO THE SUBJECT MATTER HEREOF AND SUPERSEDES ANY AND ALL PRIOR COMMITMENTS, AGREEMENTS, REPRESENTATIONS AND UNDERSTANDINGS, WHETHER WRITTEN OR ORAL, RELATING TO THIS AMENDMENT, AND MAY NOT BE CONTRADICTED OR VARIED BY EVIDENCE OF PRIOR, CONTEMPORANEOUS OR SUBSEQUENT ORAL AGREEMENTS OR DISCUSSIONS OF THE PARTIES HERETO. THERE ARE NO ORAL AGREEMENTS AMONG THE PARTIES HERETO.</w:t>
      </w:r>
    </w:p>
    <w:p>
      <w:pPr>
        <w:spacing w:after="0" w:line="184" w:lineRule="exact"/>
        <w:rPr>
          <w:sz w:val="20"/>
          <w:szCs w:val="20"/>
          <w:color w:val="auto"/>
        </w:rPr>
      </w:pPr>
    </w:p>
    <w:p>
      <w:pPr>
        <w:ind w:right="2779" w:firstLine="558"/>
        <w:spacing w:after="0" w:line="275" w:lineRule="auto"/>
        <w:rPr>
          <w:sz w:val="20"/>
          <w:szCs w:val="20"/>
          <w:color w:val="auto"/>
        </w:rPr>
      </w:pPr>
      <w:r>
        <w:rPr>
          <w:rFonts w:ascii="Courier New" w:cs="Courier New" w:eastAsia="Courier New" w:hAnsi="Courier New"/>
          <w:sz w:val="14"/>
          <w:szCs w:val="14"/>
          <w:color w:val="auto"/>
        </w:rPr>
        <w:t>Section 4.12. Required Lenders. The Agreement may be modified as provided in this Amendment with the agreement of the Required Lenders which means Lenders having fifty-one percent (51%) of the sum of the Total Commitment (such percentage applicable to a Lender, herein such Lender's "Required Lender Percentage"). For purposes of determining the effectiveness of this Amendment, each Lender's Required Lender Percentage is set forth on Schedule 4.12 hereto.</w:t>
      </w:r>
    </w:p>
    <w:p>
      <w:pPr>
        <w:spacing w:after="0" w:line="15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Executed as of the date first written above.</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LENNOX INTERNATIONAL INC.</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JPMORGAN CHASE BANK, formerly The</w:t>
      </w:r>
    </w:p>
    <w:p>
      <w:pPr>
        <w:ind w:left="4080"/>
        <w:spacing w:after="0" w:line="236" w:lineRule="auto"/>
        <w:rPr>
          <w:sz w:val="20"/>
          <w:szCs w:val="20"/>
          <w:color w:val="auto"/>
        </w:rPr>
      </w:pPr>
      <w:r>
        <w:rPr>
          <w:rFonts w:ascii="Courier New" w:cs="Courier New" w:eastAsia="Courier New" w:hAnsi="Courier New"/>
          <w:sz w:val="16"/>
          <w:szCs w:val="16"/>
          <w:color w:val="auto"/>
        </w:rPr>
        <w:t>Chase Manhattan Bank, as successor</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in interest by merger to Chase Bank</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of Texas, National Association,</w:t>
      </w:r>
    </w:p>
    <w:p>
      <w:pPr>
        <w:ind w:left="4080"/>
        <w:spacing w:after="0" w:line="236" w:lineRule="auto"/>
        <w:rPr>
          <w:sz w:val="20"/>
          <w:szCs w:val="20"/>
          <w:color w:val="auto"/>
        </w:rPr>
      </w:pPr>
      <w:r>
        <w:rPr>
          <w:rFonts w:ascii="Courier New" w:cs="Courier New" w:eastAsia="Courier New" w:hAnsi="Courier New"/>
          <w:sz w:val="16"/>
          <w:szCs w:val="16"/>
          <w:color w:val="auto"/>
        </w:rPr>
        <w:t>individually as Lender, an Issuing</w:t>
      </w:r>
    </w:p>
    <w:p>
      <w:pPr>
        <w:ind w:left="4080"/>
        <w:spacing w:after="0" w:line="237" w:lineRule="auto"/>
        <w:rPr>
          <w:sz w:val="20"/>
          <w:szCs w:val="20"/>
          <w:color w:val="auto"/>
        </w:rPr>
      </w:pPr>
      <w:r>
        <w:rPr>
          <w:rFonts w:ascii="Courier New" w:cs="Courier New" w:eastAsia="Courier New" w:hAnsi="Courier New"/>
          <w:sz w:val="16"/>
          <w:szCs w:val="16"/>
          <w:color w:val="auto"/>
        </w:rPr>
        <w:t>Bank, Swingline Lender, and as</w:t>
      </w:r>
    </w:p>
    <w:p>
      <w:pPr>
        <w:ind w:left="4080"/>
        <w:spacing w:after="0" w:line="237" w:lineRule="auto"/>
        <w:rPr>
          <w:sz w:val="20"/>
          <w:szCs w:val="20"/>
          <w:color w:val="auto"/>
        </w:rPr>
      </w:pPr>
      <w:r>
        <w:rPr>
          <w:rFonts w:ascii="Courier New" w:cs="Courier New" w:eastAsia="Courier New" w:hAnsi="Courier New"/>
          <w:sz w:val="16"/>
          <w:szCs w:val="16"/>
          <w:color w:val="auto"/>
        </w:rPr>
        <w:t>Administrative Agent</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David L. Howard</w:t>
      </w:r>
    </w:p>
    <w:p>
      <w:pPr>
        <w:ind w:left="4360"/>
        <w:spacing w:after="0" w:line="236" w:lineRule="auto"/>
        <w:rPr>
          <w:sz w:val="20"/>
          <w:szCs w:val="20"/>
          <w:color w:val="auto"/>
        </w:rPr>
      </w:pPr>
      <w:r>
        <w:rPr>
          <w:rFonts w:ascii="Courier New" w:cs="Courier New" w:eastAsia="Courier New" w:hAnsi="Courier New"/>
          <w:sz w:val="16"/>
          <w:szCs w:val="16"/>
          <w:color w:val="auto"/>
        </w:rPr>
        <w:t>Vice President</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THE BANK OF NOVA SCOTIA</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4</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654" w:right="1440" w:bottom="1440" w:gutter="0" w:footer="0" w:header="0"/>
        </w:sectPr>
      </w:pPr>
    </w:p>
    <w:bookmarkStart w:id="98" w:name="page99"/>
    <w:bookmarkEnd w:id="98"/>
    <w:p>
      <w:pPr>
        <w:ind w:left="4080"/>
        <w:spacing w:after="0"/>
        <w:rPr>
          <w:sz w:val="20"/>
          <w:szCs w:val="20"/>
          <w:color w:val="auto"/>
        </w:rPr>
      </w:pPr>
      <w:r>
        <w:rPr>
          <w:rFonts w:ascii="Courier New" w:cs="Courier New" w:eastAsia="Courier New" w:hAnsi="Courier New"/>
          <w:sz w:val="16"/>
          <w:szCs w:val="16"/>
          <w:color w:val="auto"/>
        </w:rPr>
        <w:t>THE BANK OF TOKYO-MITSUBISHI, LTD.</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WELLS FARGO BANK, N.A. (successor by</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consolidation to Wells Fargo Bank</w:t>
      </w:r>
    </w:p>
    <w:p>
      <w:pPr>
        <w:ind w:left="4080"/>
        <w:spacing w:after="0" w:line="236" w:lineRule="auto"/>
        <w:rPr>
          <w:sz w:val="20"/>
          <w:szCs w:val="20"/>
          <w:color w:val="auto"/>
        </w:rPr>
      </w:pPr>
      <w:r>
        <w:rPr>
          <w:rFonts w:ascii="Courier New" w:cs="Courier New" w:eastAsia="Courier New" w:hAnsi="Courier New"/>
          <w:sz w:val="16"/>
          <w:szCs w:val="16"/>
          <w:color w:val="auto"/>
        </w:rPr>
        <w:t>Texas, N.A.)</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BANK OF TEXAS, N.A.</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9"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BANK ONE, NA (successor by merger to</w:t>
      </w:r>
    </w:p>
    <w:p>
      <w:pPr>
        <w:spacing w:after="0" w:line="14"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Bank One, Texas, N.A)</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GUARANTY BANK</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U.S. BANK NATIONAL ASSOCIATION</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COMPASS BANK</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5</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648" w:right="1440" w:bottom="1440" w:gutter="0" w:footer="0" w:header="0"/>
        </w:sectPr>
      </w:pPr>
    </w:p>
    <w:bookmarkStart w:id="99" w:name="page100"/>
    <w:bookmarkEnd w:id="99"/>
    <w:p>
      <w:pPr>
        <w:ind w:left="4080"/>
        <w:spacing w:after="0"/>
        <w:rPr>
          <w:sz w:val="20"/>
          <w:szCs w:val="20"/>
          <w:color w:val="auto"/>
        </w:rPr>
      </w:pPr>
      <w:r>
        <w:rPr>
          <w:rFonts w:ascii="Courier New" w:cs="Courier New" w:eastAsia="Courier New" w:hAnsi="Courier New"/>
          <w:sz w:val="16"/>
          <w:szCs w:val="16"/>
          <w:color w:val="auto"/>
        </w:rPr>
        <w:t>FIRST AMERICAN BANK, SSB</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THE NORTHERN TRUST COMPANY</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SOUTHWEST BANK OF TEXAS, N.A.</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FLEET NATIONAL BANK</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6</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648" w:right="1440" w:bottom="1440" w:gutter="0" w:footer="0" w:header="0"/>
        </w:sectPr>
      </w:pPr>
    </w:p>
    <w:bookmarkStart w:id="100" w:name="page101"/>
    <w:bookmarkEnd w:id="100"/>
    <w:p>
      <w:pPr>
        <w:jc w:val="center"/>
        <w:ind w:right="2699"/>
        <w:spacing w:after="0"/>
        <w:rPr>
          <w:sz w:val="20"/>
          <w:szCs w:val="20"/>
          <w:color w:val="auto"/>
        </w:rPr>
      </w:pPr>
      <w:r>
        <w:rPr>
          <w:rFonts w:ascii="Courier New" w:cs="Courier New" w:eastAsia="Courier New" w:hAnsi="Courier New"/>
          <w:sz w:val="16"/>
          <w:szCs w:val="16"/>
          <w:color w:val="auto"/>
        </w:rPr>
        <w:t>Guarantor Consent</w:t>
      </w:r>
    </w:p>
    <w:p>
      <w:pPr>
        <w:spacing w:after="0" w:line="183" w:lineRule="exact"/>
        <w:rPr>
          <w:sz w:val="20"/>
          <w:szCs w:val="20"/>
          <w:color w:val="auto"/>
        </w:rPr>
      </w:pPr>
    </w:p>
    <w:p>
      <w:pPr>
        <w:ind w:right="2879" w:firstLine="558"/>
        <w:spacing w:after="0" w:line="276" w:lineRule="auto"/>
        <w:rPr>
          <w:sz w:val="20"/>
          <w:szCs w:val="20"/>
          <w:color w:val="auto"/>
        </w:rPr>
      </w:pPr>
      <w:r>
        <w:rPr>
          <w:rFonts w:ascii="Courier New" w:cs="Courier New" w:eastAsia="Courier New" w:hAnsi="Courier New"/>
          <w:sz w:val="14"/>
          <w:szCs w:val="14"/>
          <w:color w:val="auto"/>
        </w:rPr>
        <w:t>Each of the undersigned Guarantors: (i) consents and agrees to this Amendment, including, without limitation, Section 4.2, and (ii) agrees that the Loan Documents to which it is a party shall remain in full force and effect and shall continue to be the legal, valid and binding obligations of such Guarantor enforceable against it in accordance with their respective terms.</w:t>
      </w:r>
    </w:p>
    <w:p>
      <w:pPr>
        <w:spacing w:after="0" w:line="1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GUARANTORS:</w:t>
      </w:r>
    </w:p>
    <w:p>
      <w:pPr>
        <w:spacing w:after="0" w:line="17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LENNOX INDUSTRIES INC.</w:t>
      </w:r>
    </w:p>
    <w:p>
      <w:pPr>
        <w:ind w:left="4080"/>
        <w:spacing w:after="0" w:line="236" w:lineRule="auto"/>
        <w:rPr>
          <w:sz w:val="20"/>
          <w:szCs w:val="20"/>
          <w:color w:val="auto"/>
        </w:rPr>
      </w:pPr>
      <w:r>
        <w:rPr>
          <w:rFonts w:ascii="Courier New" w:cs="Courier New" w:eastAsia="Courier New" w:hAnsi="Courier New"/>
          <w:sz w:val="16"/>
          <w:szCs w:val="16"/>
          <w:color w:val="auto"/>
        </w:rPr>
        <w:t>ARMSTRONG AIR CONDITIONING INC.</w:t>
      </w:r>
    </w:p>
    <w:p>
      <w:pPr>
        <w:ind w:left="4080"/>
        <w:spacing w:after="0" w:line="237" w:lineRule="auto"/>
        <w:rPr>
          <w:sz w:val="20"/>
          <w:szCs w:val="20"/>
          <w:color w:val="auto"/>
        </w:rPr>
      </w:pPr>
      <w:r>
        <w:rPr>
          <w:rFonts w:ascii="Courier New" w:cs="Courier New" w:eastAsia="Courier New" w:hAnsi="Courier New"/>
          <w:sz w:val="16"/>
          <w:szCs w:val="16"/>
          <w:color w:val="auto"/>
        </w:rPr>
        <w:t>EXCEL COMFORT SYSTEMS INC.</w:t>
      </w:r>
    </w:p>
    <w:p>
      <w:pPr>
        <w:ind w:left="4080"/>
        <w:spacing w:after="0" w:line="237" w:lineRule="auto"/>
        <w:rPr>
          <w:sz w:val="20"/>
          <w:szCs w:val="20"/>
          <w:color w:val="auto"/>
        </w:rPr>
      </w:pPr>
      <w:r>
        <w:rPr>
          <w:rFonts w:ascii="Courier New" w:cs="Courier New" w:eastAsia="Courier New" w:hAnsi="Courier New"/>
          <w:sz w:val="16"/>
          <w:szCs w:val="16"/>
          <w:color w:val="auto"/>
        </w:rPr>
        <w:t>SERVICE EXPERTS INC.</w:t>
      </w:r>
    </w:p>
    <w:p>
      <w:pPr>
        <w:ind w:left="4080"/>
        <w:spacing w:after="0" w:line="237" w:lineRule="auto"/>
        <w:rPr>
          <w:sz w:val="20"/>
          <w:szCs w:val="20"/>
          <w:color w:val="auto"/>
        </w:rPr>
      </w:pPr>
      <w:r>
        <w:rPr>
          <w:rFonts w:ascii="Courier New" w:cs="Courier New" w:eastAsia="Courier New" w:hAnsi="Courier New"/>
          <w:sz w:val="16"/>
          <w:szCs w:val="16"/>
          <w:color w:val="auto"/>
        </w:rPr>
        <w:t>LENNOX GLOBAL LTD.</w:t>
      </w:r>
    </w:p>
    <w:p>
      <w:pPr>
        <w:ind w:left="4080"/>
        <w:spacing w:after="0" w:line="237" w:lineRule="auto"/>
        <w:rPr>
          <w:sz w:val="20"/>
          <w:szCs w:val="20"/>
          <w:color w:val="auto"/>
        </w:rPr>
      </w:pPr>
      <w:r>
        <w:rPr>
          <w:rFonts w:ascii="Courier New" w:cs="Courier New" w:eastAsia="Courier New" w:hAnsi="Courier New"/>
          <w:sz w:val="16"/>
          <w:szCs w:val="16"/>
          <w:color w:val="auto"/>
        </w:rPr>
        <w:t>LGL EUROPE HOLDING CO.</w:t>
      </w:r>
    </w:p>
    <w:p>
      <w:pPr>
        <w:ind w:left="4080"/>
        <w:spacing w:after="0" w:line="237" w:lineRule="auto"/>
        <w:rPr>
          <w:sz w:val="20"/>
          <w:szCs w:val="20"/>
          <w:color w:val="auto"/>
        </w:rPr>
      </w:pPr>
      <w:r>
        <w:rPr>
          <w:rFonts w:ascii="Courier New" w:cs="Courier New" w:eastAsia="Courier New" w:hAnsi="Courier New"/>
          <w:sz w:val="16"/>
          <w:szCs w:val="16"/>
          <w:color w:val="auto"/>
        </w:rPr>
        <w:t>LGL AUSTRALIA (US) INC.</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Name:____________________________</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Title:___________________________</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AMENDMENT TO AMENDED AND RESTATED REVOLVING CREDIT FACILITY</w:t>
      </w:r>
    </w:p>
    <w:p>
      <w:pPr>
        <w:spacing w:after="0" w:line="236" w:lineRule="auto"/>
        <w:rPr>
          <w:sz w:val="20"/>
          <w:szCs w:val="20"/>
          <w:color w:val="auto"/>
        </w:rPr>
      </w:pPr>
      <w:r>
        <w:rPr>
          <w:rFonts w:ascii="Courier New" w:cs="Courier New" w:eastAsia="Courier New" w:hAnsi="Courier New"/>
          <w:sz w:val="16"/>
          <w:szCs w:val="16"/>
          <w:color w:val="auto"/>
        </w:rPr>
        <w:t>AGREEMENT, Page 7</w:t>
      </w:r>
    </w:p>
    <w:p>
      <w:pPr>
        <w:spacing w:after="0" w:line="237"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219"/>
          </w:cols>
          <w:pgMar w:left="240" w:top="648" w:right="1440" w:bottom="1440" w:gutter="0" w:footer="0" w:header="0"/>
        </w:sectPr>
      </w:pPr>
    </w:p>
    <w:bookmarkStart w:id="101" w:name="page102"/>
    <w:bookmarkEnd w:id="101"/>
    <w:p>
      <w:pPr>
        <w:ind w:left="3160"/>
        <w:spacing w:after="0"/>
        <w:rPr>
          <w:sz w:val="20"/>
          <w:szCs w:val="20"/>
          <w:color w:val="auto"/>
        </w:rPr>
      </w:pPr>
      <w:r>
        <w:rPr>
          <w:rFonts w:ascii="Courier New" w:cs="Courier New" w:eastAsia="Courier New" w:hAnsi="Courier New"/>
          <w:sz w:val="16"/>
          <w:szCs w:val="16"/>
          <w:color w:val="auto"/>
        </w:rPr>
        <w:t>SCHEDULE 4.12</w:t>
      </w:r>
    </w:p>
    <w:p>
      <w:pPr>
        <w:ind w:left="3620"/>
        <w:spacing w:after="0" w:line="236" w:lineRule="auto"/>
        <w:rPr>
          <w:sz w:val="20"/>
          <w:szCs w:val="20"/>
          <w:color w:val="auto"/>
        </w:rPr>
      </w:pPr>
      <w:r>
        <w:rPr>
          <w:rFonts w:ascii="Courier New" w:cs="Courier New" w:eastAsia="Courier New" w:hAnsi="Courier New"/>
          <w:sz w:val="16"/>
          <w:szCs w:val="16"/>
          <w:color w:val="auto"/>
        </w:rPr>
        <w:t>to</w:t>
      </w:r>
    </w:p>
    <w:p>
      <w:pPr>
        <w:jc w:val="center"/>
        <w:ind w:right="3340"/>
        <w:spacing w:after="0" w:line="237" w:lineRule="auto"/>
        <w:rPr>
          <w:sz w:val="20"/>
          <w:szCs w:val="20"/>
          <w:color w:val="auto"/>
        </w:rPr>
      </w:pPr>
      <w:r>
        <w:rPr>
          <w:rFonts w:ascii="Courier New" w:cs="Courier New" w:eastAsia="Courier New" w:hAnsi="Courier New"/>
          <w:sz w:val="16"/>
          <w:szCs w:val="16"/>
          <w:color w:val="auto"/>
        </w:rPr>
        <w:t>FIRST AMENDMENT TO AMENDED AND RESTATED</w:t>
      </w:r>
    </w:p>
    <w:p>
      <w:pPr>
        <w:jc w:val="center"/>
        <w:ind w:right="3340"/>
        <w:spacing w:after="0" w:line="237" w:lineRule="auto"/>
        <w:rPr>
          <w:sz w:val="20"/>
          <w:szCs w:val="20"/>
          <w:color w:val="auto"/>
        </w:rPr>
      </w:pPr>
      <w:r>
        <w:rPr>
          <w:rFonts w:ascii="Courier New" w:cs="Courier New" w:eastAsia="Courier New" w:hAnsi="Courier New"/>
          <w:sz w:val="16"/>
          <w:szCs w:val="16"/>
          <w:color w:val="auto"/>
        </w:rPr>
        <w:t>REVOLVING CREDIT FACILITY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ind w:left="2980"/>
              <w:spacing w:after="0"/>
              <w:rPr>
                <w:sz w:val="20"/>
                <w:szCs w:val="20"/>
                <w:color w:val="auto"/>
              </w:rPr>
            </w:pPr>
            <w:r>
              <w:rPr>
                <w:rFonts w:ascii="Courier New" w:cs="Courier New" w:eastAsia="Courier New" w:hAnsi="Courier New"/>
                <w:sz w:val="16"/>
                <w:szCs w:val="16"/>
                <w:color w:val="auto"/>
              </w:rPr>
              <w:t>Required Lenders</w:t>
            </w:r>
          </w:p>
        </w:tc>
        <w:tc>
          <w:tcPr>
            <w:tcW w:w="220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716"/>
        </w:trPr>
        <w:tc>
          <w:tcPr>
            <w:tcW w:w="4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LENDERS AGREEING TO FIRST AMENDMENT</w:t>
            </w:r>
          </w:p>
        </w:tc>
      </w:tr>
      <w:tr>
        <w:trPr>
          <w:trHeight w:val="179"/>
        </w:trPr>
        <w:tc>
          <w:tcPr>
            <w:tcW w:w="4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90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(INSERT % FROM PRIOR COLUMN IF LENDER</w:t>
            </w:r>
          </w:p>
        </w:tc>
      </w:tr>
      <w:tr>
        <w:trPr>
          <w:trHeight w:val="179"/>
        </w:trPr>
        <w:tc>
          <w:tcPr>
            <w:tcW w:w="4780" w:type="dxa"/>
            <w:vAlign w:val="bottom"/>
          </w:tcPr>
          <w:p>
            <w:pPr>
              <w:spacing w:after="0"/>
              <w:rPr>
                <w:sz w:val="15"/>
                <w:szCs w:val="15"/>
                <w:color w:val="auto"/>
              </w:rPr>
            </w:pPr>
          </w:p>
        </w:tc>
        <w:tc>
          <w:tcPr>
            <w:tcW w:w="22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REQUIRED LENDER</w:t>
            </w:r>
          </w:p>
        </w:tc>
        <w:tc>
          <w:tcPr>
            <w:tcW w:w="3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SIGNS AMENDMENT THEN TOTAL % IN THIS</w:t>
            </w:r>
          </w:p>
        </w:tc>
      </w:tr>
      <w:tr>
        <w:trPr>
          <w:trHeight w:val="179"/>
        </w:trPr>
        <w:tc>
          <w:tcPr>
            <w:tcW w:w="478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LENDER</w:t>
            </w:r>
          </w:p>
        </w:tc>
        <w:tc>
          <w:tcPr>
            <w:tcW w:w="22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PERCENTAGE HELD</w:t>
            </w:r>
          </w:p>
        </w:tc>
        <w:tc>
          <w:tcPr>
            <w:tcW w:w="39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8"/>
              </w:rPr>
              <w:t>COLUMN)</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JPMorgan Chase Bank</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11.111111111%</w:t>
            </w:r>
          </w:p>
        </w:tc>
        <w:tc>
          <w:tcPr>
            <w:tcW w:w="390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11.111111111%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The Bank of Nova Scotia</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11.111111111%</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11.111111111%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The Bank of Tokyo - Mitsubishi, Ltd.</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11.111111111%</w:t>
            </w:r>
          </w:p>
        </w:tc>
        <w:tc>
          <w:tcPr>
            <w:tcW w:w="390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Wells Fargo Bank, N.A.</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11.111111111%</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11.111111111%</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of Texas, N.A.</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8.888888889%</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8.888888889%</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One, N.A.</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6.666666667%</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6.666666667%</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Guaranty Bank</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6.666666667%</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6.666666667%</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U.S. Bank National Association</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6.666666667%</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6.666666667%</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Compass Bank</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4.444444444%</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4.444444444%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First American Bank, SSB</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4.444444444%</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4.444444444%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The Northern Trust Company</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4.444444444%</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4.444444444%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Southwest Bank of Texas, N.A.</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4.444444444%</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4.444444444%</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National Bank</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8.888888889%</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8.888888889%</w:t>
            </w:r>
          </w:p>
        </w:tc>
      </w:tr>
      <w:tr>
        <w:trPr>
          <w:trHeight w:val="179"/>
        </w:trPr>
        <w:tc>
          <w:tcPr>
            <w:tcW w:w="4780" w:type="dxa"/>
            <w:vAlign w:val="bottom"/>
          </w:tcPr>
          <w:p>
            <w:pPr>
              <w:spacing w:after="0"/>
              <w:rPr>
                <w:sz w:val="15"/>
                <w:szCs w:val="15"/>
                <w:color w:val="auto"/>
              </w:rPr>
            </w:pPr>
          </w:p>
        </w:tc>
        <w:tc>
          <w:tcPr>
            <w:tcW w:w="220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w:t>
            </w:r>
          </w:p>
        </w:tc>
        <w:tc>
          <w:tcPr>
            <w:tcW w:w="390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w:t>
            </w:r>
          </w:p>
        </w:tc>
        <w:tc>
          <w:tcPr>
            <w:tcW w:w="22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100.00%</w:t>
            </w:r>
          </w:p>
        </w:tc>
        <w:tc>
          <w:tcPr>
            <w:tcW w:w="390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88.89%</w:t>
            </w:r>
          </w:p>
        </w:tc>
      </w:tr>
      <w:tr>
        <w:trPr>
          <w:trHeight w:val="179"/>
        </w:trPr>
        <w:tc>
          <w:tcPr>
            <w:tcW w:w="4780" w:type="dxa"/>
            <w:vAlign w:val="bottom"/>
          </w:tcPr>
          <w:p>
            <w:pPr>
              <w:spacing w:after="0"/>
              <w:rPr>
                <w:sz w:val="15"/>
                <w:szCs w:val="15"/>
                <w:color w:val="auto"/>
              </w:rPr>
            </w:pPr>
          </w:p>
        </w:tc>
        <w:tc>
          <w:tcPr>
            <w:tcW w:w="220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w:t>
            </w:r>
          </w:p>
        </w:tc>
        <w:tc>
          <w:tcPr>
            <w:tcW w:w="3900" w:type="dxa"/>
            <w:vAlign w:val="bottom"/>
          </w:tcPr>
          <w:p>
            <w:pPr>
              <w:jc w:val="right"/>
              <w:ind w:right="14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4.12, Solo Page</w:t>
      </w:r>
    </w:p>
    <w:p>
      <w:pPr>
        <w:spacing w:after="0" w:line="236" w:lineRule="auto"/>
        <w:rPr>
          <w:sz w:val="20"/>
          <w:szCs w:val="20"/>
          <w:color w:val="auto"/>
        </w:rPr>
      </w:pPr>
      <w:r>
        <w:rPr>
          <w:rFonts w:ascii="Courier New" w:cs="Courier New" w:eastAsia="Courier New" w:hAnsi="Courier New"/>
          <w:sz w:val="16"/>
          <w:szCs w:val="16"/>
          <w:color w:val="auto"/>
        </w:rPr>
        <w:t>DALLAS2 1049278v6 12283-00121</w:t>
      </w:r>
    </w:p>
    <w:p>
      <w:pPr>
        <w:sectPr>
          <w:pgSz w:w="11900" w:h="16838" w:orient="portrait"/>
          <w:cols w:equalWidth="0" w:num="1">
            <w:col w:w="10880"/>
          </w:cols>
          <w:pgMar w:left="240" w:top="648" w:right="779" w:bottom="1440" w:gutter="0" w:footer="0" w:header="0"/>
        </w:sectPr>
      </w:pPr>
    </w:p>
    <w:bookmarkStart w:id="102" w:name="page103"/>
    <w:bookmarkEnd w:id="102"/>
    <w:p>
      <w:pPr>
        <w:jc w:val="right"/>
        <w:ind w:right="2779"/>
        <w:spacing w:after="0"/>
        <w:rPr>
          <w:sz w:val="20"/>
          <w:szCs w:val="20"/>
          <w:color w:val="auto"/>
        </w:rPr>
      </w:pPr>
      <w:r>
        <w:rPr>
          <w:rFonts w:ascii="Courier New" w:cs="Courier New" w:eastAsia="Courier New" w:hAnsi="Courier New"/>
          <w:sz w:val="16"/>
          <w:szCs w:val="16"/>
          <w:color w:val="auto"/>
        </w:rPr>
        <w:t>EXHIBIT 10.3</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EXECUTION COPY</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FOURTH AMENDMENT TO</w:t>
      </w:r>
    </w:p>
    <w:p>
      <w:pPr>
        <w:jc w:val="center"/>
        <w:ind w:right="2779"/>
        <w:spacing w:after="0" w:line="236" w:lineRule="auto"/>
        <w:rPr>
          <w:sz w:val="20"/>
          <w:szCs w:val="20"/>
          <w:color w:val="auto"/>
        </w:rPr>
      </w:pPr>
      <w:r>
        <w:rPr>
          <w:rFonts w:ascii="Courier New" w:cs="Courier New" w:eastAsia="Courier New" w:hAnsi="Courier New"/>
          <w:sz w:val="16"/>
          <w:szCs w:val="16"/>
          <w:color w:val="auto"/>
        </w:rPr>
        <w:t>SECOND AMENDED AND RESTATED RECEIVABLES PURCHASE AGREEMENT</w:t>
      </w:r>
    </w:p>
    <w:p>
      <w:pPr>
        <w:spacing w:after="0" w:line="183"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THIS FOURTH AMENDMENT TO SECOND AMENDED AND RESTATED RECEIVABLES PURCHASE AGREEMENT (this "Amendment"), dated as of June [__], 2004, is entered into, by and among LENNOX INDUSTRIES INC., an Iowa corporation, ("Lennox" or the "Master Servicer"), LPAC CORP., a Delaware corporation ("LPAC" or the "Company"), LIBERTY STREET FUNDING CORP. ("Liberty Street"), the investors named in the Purchase Agreement (defined below), THE BANK OF NOVA SCOTIA ("Scotiabank") YC SUSI TRUST ("Yorktown"), BANK OF AMERICA, N.A. (the "Yorktown Agent") and THE YORKTOWN INVESTORS. Capitalized terms used and not otherwise defined herein are used as defined in the Purchase Agreement (as defined below).</w:t>
      </w:r>
    </w:p>
    <w:p>
      <w:pPr>
        <w:spacing w:after="0" w:line="165"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WHEREAS, LPAC, Lennox, Liberty Street, the investors named therein, Scotiabank, Yorktown, the Yorktown Agent, and the Yorktown Investors are party to that certain Second Amended and Restated Receivables Purchase Agreement, dated as of June 16, 2003 (as amended, supplemented or otherwise modified through the date hereof, the "Purchase Agreement); and</w:t>
      </w:r>
    </w:p>
    <w:p>
      <w:pPr>
        <w:spacing w:after="0" w:line="186" w:lineRule="exact"/>
        <w:rPr>
          <w:sz w:val="20"/>
          <w:szCs w:val="20"/>
          <w:color w:val="auto"/>
        </w:rPr>
      </w:pPr>
    </w:p>
    <w:p>
      <w:pPr>
        <w:ind w:right="2879" w:firstLine="558"/>
        <w:spacing w:after="0" w:line="234" w:lineRule="auto"/>
        <w:rPr>
          <w:sz w:val="20"/>
          <w:szCs w:val="20"/>
          <w:color w:val="auto"/>
        </w:rPr>
      </w:pPr>
      <w:r>
        <w:rPr>
          <w:rFonts w:ascii="Courier New" w:cs="Courier New" w:eastAsia="Courier New" w:hAnsi="Courier New"/>
          <w:sz w:val="16"/>
          <w:szCs w:val="16"/>
          <w:color w:val="auto"/>
        </w:rPr>
        <w:t>WHEREAS, the parties hereto desire to amend the Purchase Agreement as set forth herein.</w:t>
      </w:r>
    </w:p>
    <w:p>
      <w:pPr>
        <w:spacing w:after="0" w:line="183" w:lineRule="exact"/>
        <w:rPr>
          <w:sz w:val="20"/>
          <w:szCs w:val="20"/>
          <w:color w:val="auto"/>
        </w:rPr>
      </w:pPr>
    </w:p>
    <w:p>
      <w:pPr>
        <w:ind w:right="3339" w:firstLine="558"/>
        <w:spacing w:after="0" w:line="234" w:lineRule="auto"/>
        <w:rPr>
          <w:sz w:val="20"/>
          <w:szCs w:val="20"/>
          <w:color w:val="auto"/>
        </w:rPr>
      </w:pPr>
      <w:r>
        <w:rPr>
          <w:rFonts w:ascii="Courier New" w:cs="Courier New" w:eastAsia="Courier New" w:hAnsi="Courier New"/>
          <w:sz w:val="16"/>
          <w:szCs w:val="16"/>
          <w:color w:val="auto"/>
        </w:rPr>
        <w:t>NOW THEREFORE, in consideration of the premises and the other mutual covenants contained herein, the parties hereto agree as follows:</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1. AMENDMENTS TO PURCHASE AGREEMENT.</w:t>
      </w:r>
    </w:p>
    <w:p>
      <w:pPr>
        <w:spacing w:after="0" w:line="183" w:lineRule="exact"/>
        <w:rPr>
          <w:sz w:val="20"/>
          <w:szCs w:val="20"/>
          <w:color w:val="auto"/>
        </w:rPr>
      </w:pPr>
    </w:p>
    <w:p>
      <w:pPr>
        <w:ind w:right="3159" w:firstLine="554"/>
        <w:spacing w:after="0" w:line="234" w:lineRule="auto"/>
        <w:tabs>
          <w:tab w:leader="none" w:pos="111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10.2 (c) of the Purchase Agreement is hereby deleted and replaced with the following:</w:t>
      </w:r>
    </w:p>
    <w:p>
      <w:pPr>
        <w:spacing w:after="0" w:line="183" w:lineRule="exact"/>
        <w:rPr>
          <w:sz w:val="20"/>
          <w:szCs w:val="20"/>
          <w:color w:val="auto"/>
        </w:rPr>
      </w:pPr>
    </w:p>
    <w:p>
      <w:pPr>
        <w:ind w:left="560" w:right="2879" w:firstLine="558"/>
        <w:spacing w:after="0" w:line="275" w:lineRule="auto"/>
        <w:rPr>
          <w:sz w:val="20"/>
          <w:szCs w:val="20"/>
          <w:color w:val="auto"/>
        </w:rPr>
      </w:pPr>
      <w:r>
        <w:rPr>
          <w:rFonts w:ascii="Courier New" w:cs="Courier New" w:eastAsia="Courier New" w:hAnsi="Courier New"/>
          <w:sz w:val="14"/>
          <w:szCs w:val="14"/>
          <w:color w:val="auto"/>
        </w:rPr>
        <w:t>"(c) Additional Remedies. Upon the occurrence of the Termination Date, no Purchases or Reinvestments thereafter will be made, and each of the Agents and the Purchasers shall have, in addition to all other rights and remedies under this Agreement or otherwise, all other rights and remedies provided under the UCC of each applicable jurisdiction and other applicable laws, which rights shall be cumulative."</w:t>
      </w:r>
    </w:p>
    <w:p>
      <w:pPr>
        <w:spacing w:after="0" w:line="162" w:lineRule="exact"/>
        <w:rPr>
          <w:sz w:val="20"/>
          <w:szCs w:val="20"/>
          <w:color w:val="auto"/>
        </w:rPr>
      </w:pPr>
    </w:p>
    <w:p>
      <w:pPr>
        <w:ind w:right="3159" w:firstLine="554"/>
        <w:spacing w:after="0" w:line="235" w:lineRule="auto"/>
        <w:tabs>
          <w:tab w:leader="none" w:pos="111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Clause (i) of the definition of "Funding Termination Date" in Appendix A to the Purchase Agreement is hereby deleted and replaced with the following:</w:t>
      </w:r>
    </w:p>
    <w:p>
      <w:pPr>
        <w:spacing w:after="0" w:line="183" w:lineRule="exact"/>
        <w:rPr>
          <w:sz w:val="20"/>
          <w:szCs w:val="20"/>
          <w:color w:val="auto"/>
        </w:rPr>
      </w:pPr>
    </w:p>
    <w:p>
      <w:pPr>
        <w:ind w:left="560" w:right="2959" w:firstLine="558"/>
        <w:spacing w:after="0" w:line="234" w:lineRule="auto"/>
        <w:rPr>
          <w:sz w:val="20"/>
          <w:szCs w:val="20"/>
          <w:color w:val="auto"/>
        </w:rPr>
      </w:pPr>
      <w:r>
        <w:rPr>
          <w:rFonts w:ascii="Courier New" w:cs="Courier New" w:eastAsia="Courier New" w:hAnsi="Courier New"/>
          <w:sz w:val="16"/>
          <w:szCs w:val="16"/>
          <w:color w:val="auto"/>
        </w:rPr>
        <w:t>"(i) December 23, 2004, or such later date as may, from time time, be agreed to in writing by the Agents;"</w:t>
      </w:r>
    </w:p>
    <w:p>
      <w:pPr>
        <w:spacing w:after="0" w:line="183" w:lineRule="exact"/>
        <w:rPr>
          <w:sz w:val="20"/>
          <w:szCs w:val="20"/>
          <w:color w:val="auto"/>
        </w:rPr>
      </w:pPr>
    </w:p>
    <w:p>
      <w:pPr>
        <w:ind w:right="2879" w:firstLine="554"/>
        <w:spacing w:after="0" w:line="234" w:lineRule="auto"/>
        <w:tabs>
          <w:tab w:leader="none" w:pos="111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6.1(o) is hereby deleted and replaced with Schedule 6.1(o) attached hereto.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ectPr>
          <w:pgSz w:w="11900" w:h="16838" w:orient="portrait"/>
          <w:cols w:equalWidth="0" w:num="1">
            <w:col w:w="10219"/>
          </w:cols>
          <w:pgMar w:left="240" w:top="493" w:right="1440" w:bottom="1440" w:gutter="0" w:footer="0" w:header="0"/>
        </w:sectPr>
      </w:pPr>
    </w:p>
    <w:bookmarkStart w:id="103" w:name="page104"/>
    <w:bookmarkEnd w:id="103"/>
    <w:p>
      <w:pPr>
        <w:ind w:left="560"/>
        <w:spacing w:after="0"/>
        <w:rPr>
          <w:sz w:val="20"/>
          <w:szCs w:val="20"/>
          <w:color w:val="auto"/>
        </w:rPr>
      </w:pPr>
      <w:r>
        <w:rPr>
          <w:rFonts w:ascii="Courier New" w:cs="Courier New" w:eastAsia="Courier New" w:hAnsi="Courier New"/>
          <w:sz w:val="16"/>
          <w:szCs w:val="16"/>
          <w:color w:val="auto"/>
        </w:rPr>
        <w:t>SECTION 2. REPRESENTATIONS AND WARRANTIES.</w:t>
      </w:r>
    </w:p>
    <w:p>
      <w:pPr>
        <w:spacing w:after="0" w:line="183" w:lineRule="exact"/>
        <w:rPr>
          <w:sz w:val="20"/>
          <w:szCs w:val="20"/>
          <w:color w:val="auto"/>
        </w:rPr>
      </w:pPr>
    </w:p>
    <w:p>
      <w:pPr>
        <w:ind w:right="2779" w:firstLine="558"/>
        <w:spacing w:after="0" w:line="279" w:lineRule="auto"/>
        <w:rPr>
          <w:sz w:val="20"/>
          <w:szCs w:val="20"/>
          <w:color w:val="auto"/>
        </w:rPr>
      </w:pPr>
      <w:r>
        <w:rPr>
          <w:rFonts w:ascii="Courier New" w:cs="Courier New" w:eastAsia="Courier New" w:hAnsi="Courier New"/>
          <w:sz w:val="14"/>
          <w:szCs w:val="14"/>
          <w:color w:val="auto"/>
        </w:rPr>
        <w:t>Each Seller Party hereby certifies that, subject to the effectiveness of this Amendment, each of the representations and warranties set forth in Article VI of the Receivables Purchase Agreement is true and correct on the date hereof, as if each such representation and warranty were made on the date hereof.</w:t>
      </w:r>
    </w:p>
    <w:p>
      <w:pPr>
        <w:spacing w:after="0" w:line="15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 PURCHASE AGREEMENT IN FULL FORCE AND EFFECT AS AMENDED.</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Except as specifically amended hereby, the Purchase Agreement shall remain in full force and effect. All references to the Purchase Agreement shall be deemed to mean the Purchase Agreement as modified hereby. This Amendment shall not constitute a novation of the Purchase Agreement, but shall constitute an amendment thereof. The parties hereto agree to be bound by the terms and conditions of the Purchase Agreement, as amended by this Amendment, as though such terms and conditions were set forth herein.</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4. MISCELLANEOUS.</w:t>
      </w:r>
    </w:p>
    <w:p>
      <w:pPr>
        <w:spacing w:after="0" w:line="183" w:lineRule="exact"/>
        <w:rPr>
          <w:sz w:val="20"/>
          <w:szCs w:val="20"/>
          <w:color w:val="auto"/>
        </w:rPr>
      </w:pPr>
    </w:p>
    <w:p>
      <w:pPr>
        <w:ind w:right="2779" w:firstLine="554"/>
        <w:spacing w:after="0" w:line="275" w:lineRule="auto"/>
        <w:tabs>
          <w:tab w:leader="none" w:pos="111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 and by the different parties hereto on the same or separate counterparts, each of which shall be deemed to be an original instrument but all of which together shall constitute one and the same agreement. Delivery of an executed counterpart of a signature page by facsimile or other electronic transmission shall be effective as delivery of a manually executed counterpart of this Amendment.</w:t>
      </w:r>
    </w:p>
    <w:p>
      <w:pPr>
        <w:spacing w:after="0" w:line="161" w:lineRule="exact"/>
        <w:rPr>
          <w:rFonts w:ascii="Courier New" w:cs="Courier New" w:eastAsia="Courier New" w:hAnsi="Courier New"/>
          <w:sz w:val="14"/>
          <w:szCs w:val="14"/>
          <w:color w:val="auto"/>
        </w:rPr>
      </w:pPr>
    </w:p>
    <w:p>
      <w:pPr>
        <w:ind w:right="2779" w:firstLine="554"/>
        <w:spacing w:after="0" w:line="235" w:lineRule="auto"/>
        <w:tabs>
          <w:tab w:leader="none" w:pos="111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descriptive headings of the various sections of this Amendment are inserted for convenience of reference only and shall not be deemed to affect the meaning or construction of any of the provisions hereof.</w:t>
      </w:r>
    </w:p>
    <w:p>
      <w:pPr>
        <w:spacing w:after="0" w:line="183" w:lineRule="exact"/>
        <w:rPr>
          <w:rFonts w:ascii="Courier New" w:cs="Courier New" w:eastAsia="Courier New" w:hAnsi="Courier New"/>
          <w:sz w:val="16"/>
          <w:szCs w:val="16"/>
          <w:color w:val="auto"/>
        </w:rPr>
      </w:pPr>
    </w:p>
    <w:p>
      <w:pPr>
        <w:ind w:right="3059" w:firstLine="554"/>
        <w:spacing w:after="0" w:line="234" w:lineRule="auto"/>
        <w:tabs>
          <w:tab w:leader="none" w:pos="111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may not be amended or otherwise modified except as provided in the Agreement.</w:t>
      </w:r>
    </w:p>
    <w:p>
      <w:pPr>
        <w:spacing w:after="0" w:line="183" w:lineRule="exact"/>
        <w:rPr>
          <w:rFonts w:ascii="Courier New" w:cs="Courier New" w:eastAsia="Courier New" w:hAnsi="Courier New"/>
          <w:sz w:val="16"/>
          <w:szCs w:val="16"/>
          <w:color w:val="auto"/>
        </w:rPr>
      </w:pPr>
    </w:p>
    <w:p>
      <w:pPr>
        <w:ind w:right="2879" w:firstLine="554"/>
        <w:spacing w:after="0" w:line="235" w:lineRule="auto"/>
        <w:tabs>
          <w:tab w:leader="none" w:pos="111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AND THE RIGHTS AND OBLIGATIONS OF THE PARTIES UNDER THIS AMENDMENT SHALL BE GOVERNED BY AND CONSTRUED AND INTERPRETED IN ACCORDANCE WITH THE LAWS OF THE STATE OF NEW YORK.</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104" w:name="page105"/>
    <w:bookmarkEnd w:id="104"/>
    <w:p>
      <w:pPr>
        <w:ind w:right="2879" w:firstLine="558"/>
        <w:spacing w:after="0" w:line="235" w:lineRule="auto"/>
        <w:rPr>
          <w:sz w:val="20"/>
          <w:szCs w:val="20"/>
          <w:color w:val="auto"/>
        </w:rPr>
      </w:pPr>
      <w:r>
        <w:rPr>
          <w:rFonts w:ascii="Courier New" w:cs="Courier New" w:eastAsia="Courier New" w:hAnsi="Courier New"/>
          <w:sz w:val="16"/>
          <w:szCs w:val="16"/>
          <w:color w:val="auto"/>
        </w:rPr>
        <w:t>IN WITNESS WHEREOF, the parties have caused this Amendment to be executed by their respective officers thereunto duly authorized, as of the date first above written.</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LPAC CORP.,</w:t>
      </w:r>
    </w:p>
    <w:p>
      <w:pPr>
        <w:ind w:left="4000"/>
        <w:spacing w:after="0" w:line="236" w:lineRule="auto"/>
        <w:rPr>
          <w:sz w:val="20"/>
          <w:szCs w:val="20"/>
          <w:color w:val="auto"/>
        </w:rPr>
      </w:pPr>
      <w:r>
        <w:rPr>
          <w:rFonts w:ascii="Courier New" w:cs="Courier New" w:eastAsia="Courier New" w:hAnsi="Courier New"/>
          <w:sz w:val="16"/>
          <w:szCs w:val="16"/>
          <w:color w:val="auto"/>
        </w:rPr>
        <w:t>as Seller</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9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LENNOX INDUSTRIES INC.,</w:t>
      </w:r>
    </w:p>
    <w:p>
      <w:pPr>
        <w:ind w:left="4000"/>
        <w:spacing w:after="0" w:line="236" w:lineRule="auto"/>
        <w:rPr>
          <w:sz w:val="20"/>
          <w:szCs w:val="20"/>
          <w:color w:val="auto"/>
        </w:rPr>
      </w:pPr>
      <w:r>
        <w:rPr>
          <w:rFonts w:ascii="Courier New" w:cs="Courier New" w:eastAsia="Courier New" w:hAnsi="Courier New"/>
          <w:sz w:val="16"/>
          <w:szCs w:val="16"/>
          <w:color w:val="auto"/>
        </w:rPr>
        <w:t>as Master Servicer</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9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[additional signatures to follow]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ectPr>
          <w:pgSz w:w="11900" w:h="16838" w:orient="portrait"/>
          <w:cols w:equalWidth="0" w:num="1">
            <w:col w:w="10219"/>
          </w:cols>
          <w:pgMar w:left="240" w:top="654" w:right="1440" w:bottom="1440" w:gutter="0" w:footer="0" w:header="0"/>
        </w:sectPr>
      </w:pPr>
    </w:p>
    <w:bookmarkStart w:id="105" w:name="page106"/>
    <w:bookmarkEnd w:id="105"/>
    <w:p>
      <w:pPr>
        <w:ind w:left="4000"/>
        <w:spacing w:after="0"/>
        <w:rPr>
          <w:sz w:val="20"/>
          <w:szCs w:val="20"/>
          <w:color w:val="auto"/>
        </w:rPr>
      </w:pPr>
      <w:r>
        <w:rPr>
          <w:rFonts w:ascii="Courier New" w:cs="Courier New" w:eastAsia="Courier New" w:hAnsi="Courier New"/>
          <w:sz w:val="16"/>
          <w:szCs w:val="16"/>
          <w:color w:val="auto"/>
        </w:rPr>
        <w:t>LIBERTY STREET FUNDING CORP.,</w:t>
      </w:r>
    </w:p>
    <w:p>
      <w:pPr>
        <w:ind w:left="4000"/>
        <w:spacing w:after="0" w:line="236" w:lineRule="auto"/>
        <w:rPr>
          <w:sz w:val="20"/>
          <w:szCs w:val="20"/>
          <w:color w:val="auto"/>
        </w:rPr>
      </w:pPr>
      <w:r>
        <w:rPr>
          <w:rFonts w:ascii="Courier New" w:cs="Courier New" w:eastAsia="Courier New" w:hAnsi="Courier New"/>
          <w:sz w:val="16"/>
          <w:szCs w:val="16"/>
          <w:color w:val="auto"/>
        </w:rPr>
        <w:t>as a Purchaser</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9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THE BANK OF NOVA SCOTIA,</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as Liberty Street Purchaser Agent and</w:t>
      </w:r>
    </w:p>
    <w:p>
      <w:pPr>
        <w:spacing w:after="0" w:line="1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Liberty Street Investor</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9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[additional signatures to follow]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ectPr>
          <w:pgSz w:w="11900" w:h="16838" w:orient="portrait"/>
          <w:cols w:equalWidth="0" w:num="1">
            <w:col w:w="10219"/>
          </w:cols>
          <w:pgMar w:left="240" w:top="648" w:right="1440" w:bottom="1440" w:gutter="0" w:footer="0" w:header="0"/>
        </w:sectPr>
      </w:pPr>
    </w:p>
    <w:bookmarkStart w:id="106" w:name="page107"/>
    <w:bookmarkEnd w:id="106"/>
    <w:p>
      <w:pPr>
        <w:ind w:left="4460"/>
        <w:spacing w:after="0"/>
        <w:rPr>
          <w:sz w:val="20"/>
          <w:szCs w:val="20"/>
          <w:color w:val="auto"/>
        </w:rPr>
      </w:pPr>
      <w:r>
        <w:rPr>
          <w:rFonts w:ascii="Courier New" w:cs="Courier New" w:eastAsia="Courier New" w:hAnsi="Courier New"/>
          <w:sz w:val="16"/>
          <w:szCs w:val="16"/>
          <w:color w:val="auto"/>
        </w:rPr>
        <w:t>YC SUSI TRUST,</w:t>
      </w:r>
    </w:p>
    <w:p>
      <w:pPr>
        <w:ind w:left="4460"/>
        <w:spacing w:after="0" w:line="236" w:lineRule="auto"/>
        <w:rPr>
          <w:sz w:val="20"/>
          <w:szCs w:val="20"/>
          <w:color w:val="auto"/>
        </w:rPr>
      </w:pPr>
      <w:r>
        <w:rPr>
          <w:rFonts w:ascii="Courier New" w:cs="Courier New" w:eastAsia="Courier New" w:hAnsi="Courier New"/>
          <w:sz w:val="16"/>
          <w:szCs w:val="16"/>
          <w:color w:val="auto"/>
        </w:rPr>
        <w:t>as the Yorktown Purchaser</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Bank of America, N.A., as</w:t>
      </w:r>
    </w:p>
    <w:p>
      <w:pPr>
        <w:ind w:left="4840"/>
        <w:spacing w:after="0" w:line="236" w:lineRule="auto"/>
        <w:rPr>
          <w:sz w:val="20"/>
          <w:szCs w:val="20"/>
          <w:color w:val="auto"/>
        </w:rPr>
      </w:pPr>
      <w:r>
        <w:rPr>
          <w:rFonts w:ascii="Courier New" w:cs="Courier New" w:eastAsia="Courier New" w:hAnsi="Courier New"/>
          <w:sz w:val="16"/>
          <w:szCs w:val="16"/>
          <w:color w:val="auto"/>
        </w:rPr>
        <w:t>Administrative Trustee</w:t>
      </w:r>
    </w:p>
    <w:p>
      <w:pPr>
        <w:spacing w:after="0" w:line="183"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By:_____________________________</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w:t>
      </w:r>
    </w:p>
    <w:p>
      <w:pPr>
        <w:ind w:left="446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BANK OF AMERICA, N.A.,</w:t>
      </w:r>
    </w:p>
    <w:p>
      <w:pPr>
        <w:ind w:left="4460"/>
        <w:spacing w:after="0" w:line="236" w:lineRule="auto"/>
        <w:rPr>
          <w:sz w:val="20"/>
          <w:szCs w:val="20"/>
          <w:color w:val="auto"/>
        </w:rPr>
      </w:pPr>
      <w:r>
        <w:rPr>
          <w:rFonts w:ascii="Courier New" w:cs="Courier New" w:eastAsia="Courier New" w:hAnsi="Courier New"/>
          <w:sz w:val="16"/>
          <w:szCs w:val="16"/>
          <w:color w:val="auto"/>
        </w:rPr>
        <w:t>as the Yorktown Investor</w:t>
      </w:r>
    </w:p>
    <w:p>
      <w:pPr>
        <w:spacing w:after="0" w:line="183"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By:_____________________________</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w:t>
      </w:r>
    </w:p>
    <w:p>
      <w:pPr>
        <w:ind w:left="446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BANK OF AMERICA, N.A.,</w:t>
      </w:r>
    </w:p>
    <w:p>
      <w:pPr>
        <w:ind w:left="4460"/>
        <w:spacing w:after="0" w:line="236" w:lineRule="auto"/>
        <w:rPr>
          <w:sz w:val="20"/>
          <w:szCs w:val="20"/>
          <w:color w:val="auto"/>
        </w:rPr>
      </w:pPr>
      <w:r>
        <w:rPr>
          <w:rFonts w:ascii="Courier New" w:cs="Courier New" w:eastAsia="Courier New" w:hAnsi="Courier New"/>
          <w:sz w:val="16"/>
          <w:szCs w:val="16"/>
          <w:color w:val="auto"/>
        </w:rPr>
        <w:t>as the Yorktown Purchaser Agent</w:t>
      </w:r>
    </w:p>
    <w:p>
      <w:pPr>
        <w:spacing w:after="0" w:line="183"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By:_____________________________</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Name:</w:t>
      </w:r>
    </w:p>
    <w:p>
      <w:pPr>
        <w:ind w:left="4460"/>
        <w:spacing w:after="0" w:line="236"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[end of signatures]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ectPr>
          <w:pgSz w:w="11900" w:h="16838" w:orient="portrait"/>
          <w:cols w:equalWidth="0" w:num="1">
            <w:col w:w="10219"/>
          </w:cols>
          <w:pgMar w:left="240" w:top="648" w:right="1440" w:bottom="1440" w:gutter="0" w:footer="0" w:header="0"/>
        </w:sectPr>
      </w:pPr>
    </w:p>
    <w:bookmarkStart w:id="107" w:name="page108"/>
    <w:bookmarkEnd w:id="107"/>
    <w:p>
      <w:pPr>
        <w:jc w:val="center"/>
        <w:ind w:right="2699"/>
        <w:spacing w:after="0"/>
        <w:rPr>
          <w:sz w:val="20"/>
          <w:szCs w:val="20"/>
          <w:color w:val="auto"/>
        </w:rPr>
      </w:pPr>
      <w:r>
        <w:rPr>
          <w:rFonts w:ascii="Courier New" w:cs="Courier New" w:eastAsia="Courier New" w:hAnsi="Courier New"/>
          <w:sz w:val="16"/>
          <w:szCs w:val="16"/>
          <w:color w:val="auto"/>
        </w:rPr>
        <w:t>SCHEDULE 6.1(o)</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LIST OF LOCKBOX BANKS</w:t>
      </w:r>
    </w:p>
    <w:p>
      <w:pPr>
        <w:ind w:left="2040"/>
        <w:spacing w:after="0" w:line="236" w:lineRule="auto"/>
        <w:rPr>
          <w:sz w:val="20"/>
          <w:szCs w:val="20"/>
          <w:color w:val="auto"/>
        </w:rPr>
      </w:pPr>
      <w:r>
        <w:rPr>
          <w:rFonts w:ascii="Courier New" w:cs="Courier New" w:eastAsia="Courier New" w:hAnsi="Courier New"/>
          <w:sz w:val="16"/>
          <w:szCs w:val="16"/>
          <w:color w:val="auto"/>
        </w:rPr>
        <w:t>MAIN OFFICE ADDRESS &amp; ACCOUNT NUMBER</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LIST OF LOCKBOX BANKS,</w:t>
      </w:r>
    </w:p>
    <w:p>
      <w:pPr>
        <w:spacing w:after="0" w:line="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4"/>
          <w:szCs w:val="14"/>
          <w:color w:val="auto"/>
        </w:rPr>
        <w:t>JURISDICTION OF ORGANIZATION, MAIN OFFICE ADDRESS</w:t>
      </w:r>
    </w:p>
    <w:p>
      <w:pPr>
        <w:spacing w:after="0" w:line="1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&amp; ACCOUNT NUMBER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 Bank of Texas, N.A.</w:t>
      </w:r>
    </w:p>
    <w:p>
      <w:pPr>
        <w:spacing w:after="0" w:line="236" w:lineRule="auto"/>
        <w:rPr>
          <w:sz w:val="20"/>
          <w:szCs w:val="20"/>
          <w:color w:val="auto"/>
        </w:rPr>
      </w:pPr>
      <w:r>
        <w:rPr>
          <w:rFonts w:ascii="Courier New" w:cs="Courier New" w:eastAsia="Courier New" w:hAnsi="Courier New"/>
          <w:sz w:val="16"/>
          <w:szCs w:val="16"/>
          <w:color w:val="auto"/>
        </w:rPr>
        <w:t>P.O. Box 660197</w:t>
      </w:r>
    </w:p>
    <w:p>
      <w:pPr>
        <w:spacing w:after="0" w:line="237" w:lineRule="auto"/>
        <w:rPr>
          <w:sz w:val="20"/>
          <w:szCs w:val="20"/>
          <w:color w:val="auto"/>
        </w:rPr>
      </w:pPr>
      <w:r>
        <w:rPr>
          <w:rFonts w:ascii="Courier New" w:cs="Courier New" w:eastAsia="Courier New" w:hAnsi="Courier New"/>
          <w:sz w:val="16"/>
          <w:szCs w:val="16"/>
          <w:color w:val="auto"/>
        </w:rPr>
        <w:t>Dallas, TX 75266-0197</w:t>
      </w:r>
    </w:p>
    <w:p>
      <w:pPr>
        <w:spacing w:after="0" w:line="237" w:lineRule="auto"/>
        <w:rPr>
          <w:sz w:val="20"/>
          <w:szCs w:val="20"/>
          <w:color w:val="auto"/>
        </w:rPr>
      </w:pPr>
      <w:r>
        <w:rPr>
          <w:rFonts w:ascii="Courier New" w:cs="Courier New" w:eastAsia="Courier New" w:hAnsi="Courier New"/>
          <w:sz w:val="16"/>
          <w:szCs w:val="16"/>
          <w:color w:val="auto"/>
        </w:rPr>
        <w:t>Lennox Industries Inc.</w:t>
      </w:r>
    </w:p>
    <w:p>
      <w:pPr>
        <w:spacing w:after="0" w:line="237" w:lineRule="auto"/>
        <w:rPr>
          <w:sz w:val="20"/>
          <w:szCs w:val="20"/>
          <w:color w:val="auto"/>
        </w:rPr>
      </w:pPr>
      <w:r>
        <w:rPr>
          <w:rFonts w:ascii="Courier New" w:cs="Courier New" w:eastAsia="Courier New" w:hAnsi="Courier New"/>
          <w:sz w:val="16"/>
          <w:szCs w:val="16"/>
          <w:color w:val="auto"/>
        </w:rPr>
        <w:t>Lockbox Account No. 07300186205</w:t>
      </w:r>
    </w:p>
    <w:p>
      <w:pPr>
        <w:spacing w:after="0" w:line="237" w:lineRule="auto"/>
        <w:rPr>
          <w:sz w:val="20"/>
          <w:szCs w:val="20"/>
          <w:color w:val="auto"/>
        </w:rPr>
      </w:pPr>
      <w:r>
        <w:rPr>
          <w:rFonts w:ascii="Courier New" w:cs="Courier New" w:eastAsia="Courier New" w:hAnsi="Courier New"/>
          <w:sz w:val="16"/>
          <w:szCs w:val="16"/>
          <w:color w:val="auto"/>
        </w:rPr>
        <w:t>Jurisdiction of Organization: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Northern Trust Company</w:t>
      </w:r>
    </w:p>
    <w:p>
      <w:pPr>
        <w:spacing w:after="0" w:line="236" w:lineRule="auto"/>
        <w:rPr>
          <w:sz w:val="20"/>
          <w:szCs w:val="20"/>
          <w:color w:val="auto"/>
        </w:rPr>
      </w:pPr>
      <w:r>
        <w:rPr>
          <w:rFonts w:ascii="Courier New" w:cs="Courier New" w:eastAsia="Courier New" w:hAnsi="Courier New"/>
          <w:sz w:val="16"/>
          <w:szCs w:val="16"/>
          <w:color w:val="auto"/>
        </w:rPr>
        <w:t>50 South LaSalle Street</w:t>
      </w:r>
    </w:p>
    <w:p>
      <w:pPr>
        <w:spacing w:after="0" w:line="237" w:lineRule="auto"/>
        <w:rPr>
          <w:sz w:val="20"/>
          <w:szCs w:val="20"/>
          <w:color w:val="auto"/>
        </w:rPr>
      </w:pPr>
      <w:r>
        <w:rPr>
          <w:rFonts w:ascii="Courier New" w:cs="Courier New" w:eastAsia="Courier New" w:hAnsi="Courier New"/>
          <w:sz w:val="16"/>
          <w:szCs w:val="16"/>
          <w:color w:val="auto"/>
        </w:rPr>
        <w:t>Chicago, IL 60675</w:t>
      </w:r>
    </w:p>
    <w:p>
      <w:pPr>
        <w:spacing w:after="0" w:line="237" w:lineRule="auto"/>
        <w:rPr>
          <w:sz w:val="20"/>
          <w:szCs w:val="20"/>
          <w:color w:val="auto"/>
        </w:rPr>
      </w:pPr>
      <w:r>
        <w:rPr>
          <w:rFonts w:ascii="Courier New" w:cs="Courier New" w:eastAsia="Courier New" w:hAnsi="Courier New"/>
          <w:sz w:val="16"/>
          <w:szCs w:val="16"/>
          <w:color w:val="auto"/>
        </w:rPr>
        <w:t>Lennox Industries Inc.</w:t>
      </w:r>
    </w:p>
    <w:p>
      <w:pPr>
        <w:spacing w:after="0" w:line="237" w:lineRule="auto"/>
        <w:rPr>
          <w:sz w:val="20"/>
          <w:szCs w:val="20"/>
          <w:color w:val="auto"/>
        </w:rPr>
      </w:pPr>
      <w:r>
        <w:rPr>
          <w:rFonts w:ascii="Courier New" w:cs="Courier New" w:eastAsia="Courier New" w:hAnsi="Courier New"/>
          <w:sz w:val="16"/>
          <w:szCs w:val="16"/>
          <w:color w:val="auto"/>
        </w:rPr>
        <w:t>Lockbox Account No. 30996733</w:t>
      </w:r>
    </w:p>
    <w:p>
      <w:pPr>
        <w:spacing w:after="0" w:line="237" w:lineRule="auto"/>
        <w:rPr>
          <w:sz w:val="20"/>
          <w:szCs w:val="20"/>
          <w:color w:val="auto"/>
        </w:rPr>
      </w:pPr>
      <w:r>
        <w:rPr>
          <w:rFonts w:ascii="Courier New" w:cs="Courier New" w:eastAsia="Courier New" w:hAnsi="Courier New"/>
          <w:sz w:val="16"/>
          <w:szCs w:val="16"/>
          <w:color w:val="auto"/>
        </w:rPr>
        <w:t>Jurisdiction of Organization: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Bank, National Association</w:t>
      </w:r>
    </w:p>
    <w:p>
      <w:pPr>
        <w:spacing w:after="0" w:line="236" w:lineRule="auto"/>
        <w:rPr>
          <w:sz w:val="20"/>
          <w:szCs w:val="20"/>
          <w:color w:val="auto"/>
        </w:rPr>
      </w:pPr>
      <w:r>
        <w:rPr>
          <w:rFonts w:ascii="Courier New" w:cs="Courier New" w:eastAsia="Courier New" w:hAnsi="Courier New"/>
          <w:sz w:val="16"/>
          <w:szCs w:val="16"/>
          <w:color w:val="auto"/>
        </w:rPr>
        <w:t>191 Peachtree Street, N.E.</w:t>
      </w:r>
    </w:p>
    <w:p>
      <w:pPr>
        <w:spacing w:after="0" w:line="237" w:lineRule="auto"/>
        <w:rPr>
          <w:sz w:val="20"/>
          <w:szCs w:val="20"/>
          <w:color w:val="auto"/>
        </w:rPr>
      </w:pPr>
      <w:r>
        <w:rPr>
          <w:rFonts w:ascii="Courier New" w:cs="Courier New" w:eastAsia="Courier New" w:hAnsi="Courier New"/>
          <w:sz w:val="16"/>
          <w:szCs w:val="16"/>
          <w:color w:val="auto"/>
        </w:rPr>
        <w:t>Atlanta, GA 30303</w:t>
      </w:r>
    </w:p>
    <w:p>
      <w:pPr>
        <w:spacing w:after="0" w:line="237" w:lineRule="auto"/>
        <w:rPr>
          <w:sz w:val="20"/>
          <w:szCs w:val="20"/>
          <w:color w:val="auto"/>
        </w:rPr>
      </w:pPr>
      <w:r>
        <w:rPr>
          <w:rFonts w:ascii="Courier New" w:cs="Courier New" w:eastAsia="Courier New" w:hAnsi="Courier New"/>
          <w:sz w:val="16"/>
          <w:szCs w:val="16"/>
          <w:color w:val="auto"/>
        </w:rPr>
        <w:t>Heatcraft - Stone Mountain, Danville, Tifton</w:t>
      </w:r>
    </w:p>
    <w:p>
      <w:pPr>
        <w:spacing w:after="0" w:line="237" w:lineRule="auto"/>
        <w:rPr>
          <w:sz w:val="20"/>
          <w:szCs w:val="20"/>
          <w:color w:val="auto"/>
        </w:rPr>
      </w:pPr>
      <w:r>
        <w:rPr>
          <w:rFonts w:ascii="Courier New" w:cs="Courier New" w:eastAsia="Courier New" w:hAnsi="Courier New"/>
          <w:sz w:val="16"/>
          <w:szCs w:val="16"/>
          <w:color w:val="auto"/>
        </w:rPr>
        <w:t>Lockbox Account No. 1868075223</w:t>
      </w:r>
    </w:p>
    <w:p>
      <w:pPr>
        <w:spacing w:after="0" w:line="237" w:lineRule="auto"/>
        <w:rPr>
          <w:sz w:val="20"/>
          <w:szCs w:val="20"/>
          <w:color w:val="auto"/>
        </w:rPr>
      </w:pPr>
      <w:r>
        <w:rPr>
          <w:rFonts w:ascii="Courier New" w:cs="Courier New" w:eastAsia="Courier New" w:hAnsi="Courier New"/>
          <w:sz w:val="16"/>
          <w:szCs w:val="16"/>
          <w:color w:val="auto"/>
        </w:rPr>
        <w:t>Jurisdiction of Organization: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Bank, National Association</w:t>
      </w:r>
    </w:p>
    <w:p>
      <w:pPr>
        <w:spacing w:after="0" w:line="236" w:lineRule="auto"/>
        <w:rPr>
          <w:sz w:val="20"/>
          <w:szCs w:val="20"/>
          <w:color w:val="auto"/>
        </w:rPr>
      </w:pPr>
      <w:r>
        <w:rPr>
          <w:rFonts w:ascii="Courier New" w:cs="Courier New" w:eastAsia="Courier New" w:hAnsi="Courier New"/>
          <w:sz w:val="16"/>
          <w:szCs w:val="16"/>
          <w:color w:val="auto"/>
        </w:rPr>
        <w:t>191 Peachtree Street, N.E.</w:t>
      </w:r>
    </w:p>
    <w:p>
      <w:pPr>
        <w:spacing w:after="0" w:line="237" w:lineRule="auto"/>
        <w:rPr>
          <w:sz w:val="20"/>
          <w:szCs w:val="20"/>
          <w:color w:val="auto"/>
        </w:rPr>
      </w:pPr>
      <w:r>
        <w:rPr>
          <w:rFonts w:ascii="Courier New" w:cs="Courier New" w:eastAsia="Courier New" w:hAnsi="Courier New"/>
          <w:sz w:val="16"/>
          <w:szCs w:val="16"/>
          <w:color w:val="auto"/>
        </w:rPr>
        <w:t>Atlanta, GA 30303</w:t>
      </w:r>
    </w:p>
    <w:p>
      <w:pPr>
        <w:spacing w:after="0" w:line="237" w:lineRule="auto"/>
        <w:rPr>
          <w:sz w:val="20"/>
          <w:szCs w:val="20"/>
          <w:color w:val="auto"/>
        </w:rPr>
      </w:pPr>
      <w:r>
        <w:rPr>
          <w:rFonts w:ascii="Courier New" w:cs="Courier New" w:eastAsia="Courier New" w:hAnsi="Courier New"/>
          <w:sz w:val="16"/>
          <w:szCs w:val="16"/>
          <w:color w:val="auto"/>
        </w:rPr>
        <w:t>Heatcraft - Grenada Lockbox Account No. 1868019492</w:t>
      </w:r>
    </w:p>
    <w:p>
      <w:pPr>
        <w:spacing w:after="0" w:line="237" w:lineRule="auto"/>
        <w:rPr>
          <w:sz w:val="20"/>
          <w:szCs w:val="20"/>
          <w:color w:val="auto"/>
        </w:rPr>
      </w:pPr>
      <w:r>
        <w:rPr>
          <w:rFonts w:ascii="Courier New" w:cs="Courier New" w:eastAsia="Courier New" w:hAnsi="Courier New"/>
          <w:sz w:val="16"/>
          <w:szCs w:val="16"/>
          <w:color w:val="auto"/>
        </w:rPr>
        <w:t>Jurisdiction of Organization: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Compass Bank</w:t>
      </w:r>
    </w:p>
    <w:p>
      <w:pPr>
        <w:spacing w:after="0" w:line="236" w:lineRule="auto"/>
        <w:rPr>
          <w:sz w:val="20"/>
          <w:szCs w:val="20"/>
          <w:color w:val="auto"/>
        </w:rPr>
      </w:pPr>
      <w:r>
        <w:rPr>
          <w:rFonts w:ascii="Courier New" w:cs="Courier New" w:eastAsia="Courier New" w:hAnsi="Courier New"/>
          <w:sz w:val="16"/>
          <w:szCs w:val="16"/>
          <w:color w:val="auto"/>
        </w:rPr>
        <w:t>8080 N. Central Expressway</w:t>
      </w:r>
    </w:p>
    <w:p>
      <w:pPr>
        <w:spacing w:after="0" w:line="237" w:lineRule="auto"/>
        <w:rPr>
          <w:sz w:val="20"/>
          <w:szCs w:val="20"/>
          <w:color w:val="auto"/>
        </w:rPr>
      </w:pPr>
      <w:r>
        <w:rPr>
          <w:rFonts w:ascii="Courier New" w:cs="Courier New" w:eastAsia="Courier New" w:hAnsi="Courier New"/>
          <w:sz w:val="16"/>
          <w:szCs w:val="16"/>
          <w:color w:val="auto"/>
        </w:rPr>
        <w:t>Suite 310</w:t>
      </w:r>
    </w:p>
    <w:p>
      <w:pPr>
        <w:spacing w:after="0" w:line="237" w:lineRule="auto"/>
        <w:rPr>
          <w:sz w:val="20"/>
          <w:szCs w:val="20"/>
          <w:color w:val="auto"/>
        </w:rPr>
      </w:pPr>
      <w:r>
        <w:rPr>
          <w:rFonts w:ascii="Courier New" w:cs="Courier New" w:eastAsia="Courier New" w:hAnsi="Courier New"/>
          <w:sz w:val="16"/>
          <w:szCs w:val="16"/>
          <w:color w:val="auto"/>
        </w:rPr>
        <w:t>Dallas, TX 75206</w:t>
      </w:r>
    </w:p>
    <w:p>
      <w:pPr>
        <w:spacing w:after="0" w:line="237" w:lineRule="auto"/>
        <w:rPr>
          <w:sz w:val="20"/>
          <w:szCs w:val="20"/>
          <w:color w:val="auto"/>
        </w:rPr>
      </w:pPr>
      <w:r>
        <w:rPr>
          <w:rFonts w:ascii="Courier New" w:cs="Courier New" w:eastAsia="Courier New" w:hAnsi="Courier New"/>
          <w:sz w:val="16"/>
          <w:szCs w:val="16"/>
          <w:color w:val="auto"/>
        </w:rPr>
        <w:t>Account No. 16668761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64347.000002 CHARLOTTE 122549v2</w:t>
      </w:r>
    </w:p>
    <w:p>
      <w:pPr>
        <w:sectPr>
          <w:pgSz w:w="11900" w:h="16838" w:orient="portrait"/>
          <w:cols w:equalWidth="0" w:num="1">
            <w:col w:w="10219"/>
          </w:cols>
          <w:pgMar w:left="240" w:top="648" w:right="1440" w:bottom="1440" w:gutter="0" w:footer="0" w:header="0"/>
        </w:sectPr>
      </w:pPr>
    </w:p>
    <w:bookmarkStart w:id="108" w:name="page109"/>
    <w:bookmarkEnd w:id="108"/>
    <w:p>
      <w:pPr>
        <w:jc w:val="right"/>
        <w:ind w:right="2779"/>
        <w:spacing w:after="0"/>
        <w:rPr>
          <w:sz w:val="20"/>
          <w:szCs w:val="20"/>
          <w:color w:val="auto"/>
        </w:rPr>
      </w:pPr>
      <w:r>
        <w:rPr>
          <w:rFonts w:ascii="Courier New" w:cs="Courier New" w:eastAsia="Courier New" w:hAnsi="Courier New"/>
          <w:sz w:val="16"/>
          <w:szCs w:val="16"/>
          <w:color w:val="auto"/>
        </w:rPr>
        <w:t>EXHIBIT 10.9</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EXECUTION COPY</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FIRST OMNIBUS AMENDMENT TO</w:t>
      </w:r>
    </w:p>
    <w:p>
      <w:pPr>
        <w:ind w:left="2780"/>
        <w:spacing w:after="0" w:line="236" w:lineRule="auto"/>
        <w:rPr>
          <w:sz w:val="20"/>
          <w:szCs w:val="20"/>
          <w:color w:val="auto"/>
        </w:rPr>
      </w:pPr>
      <w:r>
        <w:rPr>
          <w:rFonts w:ascii="Courier New" w:cs="Courier New" w:eastAsia="Courier New" w:hAnsi="Courier New"/>
          <w:sz w:val="16"/>
          <w:szCs w:val="16"/>
          <w:color w:val="auto"/>
        </w:rPr>
        <w:t>TRANSACTION DOCUMENTS</w:t>
      </w:r>
    </w:p>
    <w:p>
      <w:pPr>
        <w:spacing w:after="0" w:line="183"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THIS FIRST OMNIBUS AMENDMENT TO TRANSACTION DOCUMENTS, dated as of December 31, 2003 (this "Amendment"), is entered into by and among LENNOX INTERNATIONAL INC., LENNOX INDUSTRIES, INC., ADVANCED DISTRIBUTOR PRODUCTS LLC, HEATCRAFT REFRIGERATION PRODUCTS LLC, LPAC CORP., BLUE RIDGE ASSET FUNDING CORPORATION, WACHOVIA BANK, NATIONAL ASSOCIATION, LIBERTY STREET FUNDING CORP., THE BANK OF NOVA SCOTIA, EAGLEFUNDING CAPITAL CORPORATION, FLEET NATIONAL BANK, FLEET SECURITIES, INC. and THE LIBERTY STREET INVESTORS. Capitalized terms used and not otherwise defined herein are used as defined in the Transaction Documents (as defined in the Receivables Purchase Agreement, which is defined below).</w:t>
      </w:r>
    </w:p>
    <w:p>
      <w:pPr>
        <w:spacing w:after="0" w:line="186" w:lineRule="exact"/>
        <w:rPr>
          <w:sz w:val="20"/>
          <w:szCs w:val="20"/>
          <w:color w:val="auto"/>
        </w:rPr>
      </w:pPr>
    </w:p>
    <w:p>
      <w:pPr>
        <w:ind w:right="2779" w:firstLine="558"/>
        <w:spacing w:after="0" w:line="276" w:lineRule="auto"/>
        <w:rPr>
          <w:sz w:val="20"/>
          <w:szCs w:val="20"/>
          <w:color w:val="auto"/>
        </w:rPr>
      </w:pPr>
      <w:r>
        <w:rPr>
          <w:rFonts w:ascii="Courier New" w:cs="Courier New" w:eastAsia="Courier New" w:hAnsi="Courier New"/>
          <w:sz w:val="14"/>
          <w:szCs w:val="14"/>
          <w:color w:val="auto"/>
        </w:rPr>
        <w:t>WHEREAS, the Seller, the Master Servicer, Blue Ridge, Wachovia, Liberty Street, Scotiabank and the Liberty Street Investors have entered into that certain Second Amended and Restated Receivables Purchase Agreement, dated as of June 16, 2003 (as amended to the date hereof, the "Original Receivables Purchase Agreement" and, as amended hereby, the "Receivables Purchase Agreement");</w:t>
      </w:r>
    </w:p>
    <w:p>
      <w:pPr>
        <w:spacing w:after="0" w:line="161" w:lineRule="exact"/>
        <w:rPr>
          <w:sz w:val="20"/>
          <w:szCs w:val="20"/>
          <w:color w:val="auto"/>
        </w:rPr>
      </w:pPr>
    </w:p>
    <w:p>
      <w:pPr>
        <w:ind w:right="2879" w:firstLine="558"/>
        <w:spacing w:after="0" w:line="279" w:lineRule="auto"/>
        <w:rPr>
          <w:sz w:val="20"/>
          <w:szCs w:val="20"/>
          <w:color w:val="auto"/>
        </w:rPr>
      </w:pPr>
      <w:r>
        <w:rPr>
          <w:rFonts w:ascii="Courier New" w:cs="Courier New" w:eastAsia="Courier New" w:hAnsi="Courier New"/>
          <w:sz w:val="14"/>
          <w:szCs w:val="14"/>
          <w:color w:val="auto"/>
        </w:rPr>
        <w:t>WHEREAS, LPAC Corp, Lennox, Armstrong, Advance Distributor and Heatcraft Refrigeration have entered into that certain Purchase and Sale Agreement, dated as of June 19, 2000 (as amended to the date hereof, the "Original Purchase Agreement" and, as amended hereby, the "Purchase Agreement");</w:t>
      </w:r>
    </w:p>
    <w:p>
      <w:pPr>
        <w:spacing w:after="0" w:line="157"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WHEREAS, Lennox International, for the benefit of the Beneficiaries (as defined in the Assurance Agreement, which is defined below) has entered into that certain Amended and Restated Assurance Agreement, dated as of June 16, 2003; (as amended to the date hereof, the "Original Assurance Agreement" and, as amended hereby, the "Assurance Agreement");</w:t>
      </w:r>
    </w:p>
    <w:p>
      <w:pPr>
        <w:spacing w:after="0" w:line="186"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WHEREAS, the parties hereto are entering into this Amendment to, among other things, (i) remove Wachovia as the Administrative Agent and substitute in lieu thereof Scotiabank as successor to Wachovia in the capacity of Administrative Agent, (ii) remove Blue Ridge, upon payment to Blue Ridge of the Blue Ridge Repayment Amount (as set forth in Annex A hereto), (iii) remove Wachovia as the Blue Ridge Purchaser Agent, (iv) add EagleFunding Capital Corporation ("EagleFunding") as a Purchaser, (v) add Fleet National Bank as an EagleFunding Investor and (vi) add Fleet Securities, Inc. as the purchaser agent for the Purchaser Group of which EagleFunding is a party;</w:t>
      </w:r>
    </w:p>
    <w:p>
      <w:pPr>
        <w:spacing w:after="0" w:line="185" w:lineRule="exact"/>
        <w:rPr>
          <w:sz w:val="20"/>
          <w:szCs w:val="20"/>
          <w:color w:val="auto"/>
        </w:rPr>
      </w:pPr>
    </w:p>
    <w:p>
      <w:pPr>
        <w:ind w:right="3339" w:firstLine="558"/>
        <w:spacing w:after="0" w:line="234" w:lineRule="auto"/>
        <w:rPr>
          <w:sz w:val="20"/>
          <w:szCs w:val="20"/>
          <w:color w:val="auto"/>
        </w:rPr>
      </w:pPr>
      <w:r>
        <w:rPr>
          <w:rFonts w:ascii="Courier New" w:cs="Courier New" w:eastAsia="Courier New" w:hAnsi="Courier New"/>
          <w:sz w:val="16"/>
          <w:szCs w:val="16"/>
          <w:color w:val="auto"/>
        </w:rPr>
        <w:t>NOW THEREFORE, in consideration of the premises and the other mutual covenants contained herein, the parties hereto agree as follows:</w:t>
      </w:r>
    </w:p>
    <w:p>
      <w:pPr>
        <w:sectPr>
          <w:pgSz w:w="11900" w:h="16838" w:orient="portrait"/>
          <w:cols w:equalWidth="0" w:num="1">
            <w:col w:w="10219"/>
          </w:cols>
          <w:pgMar w:left="240" w:top="493" w:right="1440" w:bottom="1440" w:gutter="0" w:footer="0" w:header="0"/>
        </w:sectPr>
      </w:pPr>
    </w:p>
    <w:bookmarkStart w:id="109" w:name="page110"/>
    <w:bookmarkEnd w:id="109"/>
    <w:p>
      <w:pPr>
        <w:ind w:left="560"/>
        <w:spacing w:after="0"/>
        <w:rPr>
          <w:sz w:val="20"/>
          <w:szCs w:val="20"/>
          <w:color w:val="auto"/>
        </w:rPr>
      </w:pPr>
      <w:r>
        <w:rPr>
          <w:rFonts w:ascii="Courier New" w:cs="Courier New" w:eastAsia="Courier New" w:hAnsi="Courier New"/>
          <w:sz w:val="16"/>
          <w:szCs w:val="16"/>
          <w:color w:val="auto"/>
        </w:rPr>
        <w:t>SECTION 1. Global Amendments. Effective as of the Effective Date, the</w:t>
      </w:r>
    </w:p>
    <w:p>
      <w:pPr>
        <w:spacing w:after="0" w:line="236" w:lineRule="auto"/>
        <w:rPr>
          <w:sz w:val="20"/>
          <w:szCs w:val="20"/>
          <w:color w:val="auto"/>
        </w:rPr>
      </w:pPr>
      <w:r>
        <w:rPr>
          <w:rFonts w:ascii="Courier New" w:cs="Courier New" w:eastAsia="Courier New" w:hAnsi="Courier New"/>
          <w:sz w:val="16"/>
          <w:szCs w:val="16"/>
          <w:color w:val="auto"/>
        </w:rPr>
        <w:t>Transaction Documents are hereby amended as follows:</w:t>
      </w:r>
    </w:p>
    <w:p>
      <w:pPr>
        <w:spacing w:after="0" w:line="183" w:lineRule="exact"/>
        <w:rPr>
          <w:sz w:val="20"/>
          <w:szCs w:val="20"/>
          <w:color w:val="auto"/>
        </w:rPr>
      </w:pPr>
    </w:p>
    <w:p>
      <w:pPr>
        <w:ind w:right="2779" w:firstLine="554"/>
        <w:spacing w:after="0" w:line="272" w:lineRule="auto"/>
        <w:tabs>
          <w:tab w:leader="none" w:pos="93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Succession. Scotiabank shall be successor Administrative Agent to Wachovia for all purposes of the Transaction Documents. Scotiabank hereby accepts all of the rights, duties and obligations of the "Administrative Agent" under the Transaction Documents. Wachovia hereby assigns all of its security interests and other rights and obligations as administrative agent under the Transaction Documents to Scotiabank. Any and all references in the Transaction Documents to Wachovia in its capacity as "Administrative Agent" are hereby amended to refer to "Scotiabank" in the related capacity. Wachovia shall no longer have any rights, obligations or duties as "Administrative Agent" under any of the Transaction Documents from and after the Effective Date. It is agreed by each of the parties hereto that Scotiabank shall have no liability for any action taken or not taken by Wachovia on or prior to the Effective Date.</w:t>
      </w:r>
    </w:p>
    <w:p>
      <w:pPr>
        <w:spacing w:after="0" w:line="162" w:lineRule="exact"/>
        <w:rPr>
          <w:rFonts w:ascii="Courier New" w:cs="Courier New" w:eastAsia="Courier New" w:hAnsi="Courier New"/>
          <w:sz w:val="14"/>
          <w:szCs w:val="14"/>
          <w:color w:val="auto"/>
        </w:rPr>
      </w:pPr>
    </w:p>
    <w:p>
      <w:pPr>
        <w:ind w:left="920" w:hanging="366"/>
        <w:spacing w:after="0"/>
        <w:tabs>
          <w:tab w:leader="none" w:pos="9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Blue Ridge Termination; EagleFunding Joinder.</w:t>
      </w:r>
    </w:p>
    <w:p>
      <w:pPr>
        <w:spacing w:after="0" w:line="182" w:lineRule="exact"/>
        <w:rPr>
          <w:rFonts w:ascii="Courier New" w:cs="Courier New" w:eastAsia="Courier New" w:hAnsi="Courier New"/>
          <w:sz w:val="16"/>
          <w:szCs w:val="16"/>
          <w:color w:val="auto"/>
        </w:rPr>
      </w:pPr>
    </w:p>
    <w:p>
      <w:pPr>
        <w:ind w:left="560" w:right="2879" w:firstLine="552"/>
        <w:spacing w:after="0" w:line="273" w:lineRule="auto"/>
        <w:tabs>
          <w:tab w:leader="none" w:pos="149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Ridge Termination. Upon the payment to the Blue Ridge Purchaser Agent for the benefit of the Blue Ridge Investors of the Blue Ridge Repayment Amount, Blue Ridge, the Blue Ridge Purchaser Agent, the Blue Ridge Investors and the Blue Ridge Purchaser Group shall cease to be parties to the Transaction Documents for all purposes and, simultaneously with receipt of such Blue Ridge Repayment Amount, Blue Ridge, the Blue Ridge Purchaser Agent, the Blue Ridge Investors and the Blue Ridge Purchaser Group hereby assign all of their respective right, title and interest in, to and under each Asset Tranche funded by the Blue Ridge Purchaser Group to the Seller and none of Blue Ridge, the Blue Ridge Purchaser Agent, the Blue Ridge Investors and the Blue Ridge Purchaser Group shall have any rights, obligations or duties under any of the Transaction Documents from and after the Effective Date.</w:t>
      </w:r>
    </w:p>
    <w:p>
      <w:pPr>
        <w:spacing w:after="0" w:line="339" w:lineRule="exact"/>
        <w:rPr>
          <w:rFonts w:ascii="Courier New" w:cs="Courier New" w:eastAsia="Courier New" w:hAnsi="Courier New"/>
          <w:sz w:val="14"/>
          <w:szCs w:val="14"/>
          <w:color w:val="auto"/>
        </w:rPr>
      </w:pPr>
    </w:p>
    <w:p>
      <w:pPr>
        <w:ind w:left="560" w:right="2779" w:firstLine="552"/>
        <w:spacing w:after="0" w:line="236" w:lineRule="auto"/>
        <w:tabs>
          <w:tab w:leader="none" w:pos="158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EagleFunding Joinder. From and after the Effective Date, (w) EagleFunding shall be a Purchaser under the Transaction Documents, (x) Fleet Securities, Inc. shall be the EagleFunding Purchaser Agent under the Transaction Documents, (y) Fleet National Bank shall be an EagleFunding Investor under the Transaction Documents and (z) each of them shall have all of the rights, duties and obligations of a Purchaser, a Purchaser Agent and an Investor, as applicable, under the Transaction Documents. Each of EagleFunding, Fleet Securities, Inc. and Fleet National Bank hereby appoints and authorizes the Administrative Agent to take such action on its behalf and to exercise such powers under the Transaction Documents as are delegated to the Administrative Agent by the terms thereof.</w:t>
      </w:r>
    </w:p>
    <w:p>
      <w:pPr>
        <w:spacing w:after="0" w:line="186" w:lineRule="exact"/>
        <w:rPr>
          <w:rFonts w:ascii="Courier New" w:cs="Courier New" w:eastAsia="Courier New" w:hAnsi="Courier New"/>
          <w:sz w:val="16"/>
          <w:szCs w:val="16"/>
          <w:color w:val="auto"/>
        </w:rPr>
      </w:pPr>
    </w:p>
    <w:p>
      <w:pPr>
        <w:ind w:right="2959" w:firstLine="554"/>
        <w:spacing w:after="0" w:line="235" w:lineRule="auto"/>
        <w:tabs>
          <w:tab w:leader="none" w:pos="93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in the Transaction Documents to each of the following terms are hereby amended to refer to the related new defined term referred to below:</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"Blue Ridge" shall refer to "EagleFunding";</w:t>
      </w:r>
    </w:p>
    <w:p>
      <w:pPr>
        <w:spacing w:after="0" w:line="183" w:lineRule="exact"/>
        <w:rPr>
          <w:sz w:val="20"/>
          <w:szCs w:val="20"/>
          <w:color w:val="auto"/>
        </w:rPr>
      </w:pPr>
    </w:p>
    <w:p>
      <w:pPr>
        <w:ind w:left="1120" w:right="3339"/>
        <w:spacing w:after="0" w:line="234" w:lineRule="auto"/>
        <w:rPr>
          <w:sz w:val="20"/>
          <w:szCs w:val="20"/>
          <w:color w:val="auto"/>
        </w:rPr>
      </w:pPr>
      <w:r>
        <w:rPr>
          <w:rFonts w:ascii="Courier New" w:cs="Courier New" w:eastAsia="Courier New" w:hAnsi="Courier New"/>
          <w:sz w:val="16"/>
          <w:szCs w:val="16"/>
          <w:color w:val="auto"/>
        </w:rPr>
        <w:t>"Blue Ridge Broken Funding Costs" shall refer to "EagleFunding Broken Funding Costs";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110" w:name="page111"/>
    <w:bookmarkEnd w:id="110"/>
    <w:p>
      <w:pPr>
        <w:ind w:left="1120"/>
        <w:spacing w:after="0"/>
        <w:rPr>
          <w:sz w:val="20"/>
          <w:szCs w:val="20"/>
          <w:color w:val="auto"/>
        </w:rPr>
      </w:pPr>
      <w:r>
        <w:rPr>
          <w:rFonts w:ascii="Courier New" w:cs="Courier New" w:eastAsia="Courier New" w:hAnsi="Courier New"/>
          <w:sz w:val="16"/>
          <w:szCs w:val="16"/>
          <w:color w:val="auto"/>
        </w:rPr>
        <w:t>"Blue Ridge CP Costs" shall refer to "EagleFunding CP Costs";</w:t>
      </w:r>
    </w:p>
    <w:p>
      <w:pPr>
        <w:spacing w:after="0" w:line="183" w:lineRule="exact"/>
        <w:rPr>
          <w:sz w:val="20"/>
          <w:szCs w:val="20"/>
          <w:color w:val="auto"/>
        </w:rPr>
      </w:pPr>
    </w:p>
    <w:p>
      <w:pPr>
        <w:ind w:left="1120" w:right="3439"/>
        <w:spacing w:after="0" w:line="234" w:lineRule="auto"/>
        <w:rPr>
          <w:sz w:val="20"/>
          <w:szCs w:val="20"/>
          <w:color w:val="auto"/>
        </w:rPr>
      </w:pPr>
      <w:r>
        <w:rPr>
          <w:rFonts w:ascii="Courier New" w:cs="Courier New" w:eastAsia="Courier New" w:hAnsi="Courier New"/>
          <w:sz w:val="16"/>
          <w:szCs w:val="16"/>
          <w:color w:val="auto"/>
        </w:rPr>
        <w:t>"Blue Ridge Liquidity Agreement" shall refer to "EagleFunding Liquidity Agreement";</w:t>
      </w:r>
    </w:p>
    <w:p>
      <w:pPr>
        <w:spacing w:after="0" w:line="183" w:lineRule="exact"/>
        <w:rPr>
          <w:sz w:val="20"/>
          <w:szCs w:val="20"/>
          <w:color w:val="auto"/>
        </w:rPr>
      </w:pPr>
    </w:p>
    <w:p>
      <w:pPr>
        <w:ind w:left="1120" w:right="2959"/>
        <w:spacing w:after="0" w:line="234" w:lineRule="auto"/>
        <w:rPr>
          <w:sz w:val="20"/>
          <w:szCs w:val="20"/>
          <w:color w:val="auto"/>
        </w:rPr>
      </w:pPr>
      <w:r>
        <w:rPr>
          <w:rFonts w:ascii="Courier New" w:cs="Courier New" w:eastAsia="Courier New" w:hAnsi="Courier New"/>
          <w:sz w:val="16"/>
          <w:szCs w:val="16"/>
          <w:color w:val="auto"/>
        </w:rPr>
        <w:t>"Blue Ridge Liquidity Bank" shall refer to "EagleFunding Liquidity Bank";</w:t>
      </w:r>
    </w:p>
    <w:p>
      <w:pPr>
        <w:spacing w:after="0" w:line="183" w:lineRule="exact"/>
        <w:rPr>
          <w:sz w:val="20"/>
          <w:szCs w:val="20"/>
          <w:color w:val="auto"/>
        </w:rPr>
      </w:pPr>
    </w:p>
    <w:p>
      <w:pPr>
        <w:ind w:left="1120" w:right="2879"/>
        <w:spacing w:after="0" w:line="234" w:lineRule="auto"/>
        <w:rPr>
          <w:sz w:val="20"/>
          <w:szCs w:val="20"/>
          <w:color w:val="auto"/>
        </w:rPr>
      </w:pPr>
      <w:r>
        <w:rPr>
          <w:rFonts w:ascii="Courier New" w:cs="Courier New" w:eastAsia="Courier New" w:hAnsi="Courier New"/>
          <w:sz w:val="16"/>
          <w:szCs w:val="16"/>
          <w:color w:val="auto"/>
        </w:rPr>
        <w:t>"Blue Ridge Purchaser Agent" shall refer to "EagleFunding Purchaser Agent";</w:t>
      </w:r>
    </w:p>
    <w:p>
      <w:pPr>
        <w:spacing w:after="0" w:line="183" w:lineRule="exact"/>
        <w:rPr>
          <w:sz w:val="20"/>
          <w:szCs w:val="20"/>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"Blue Ridge Purchaser Account" shall refer to "EagleFunding Purchaser Account";</w:t>
      </w:r>
    </w:p>
    <w:p>
      <w:pPr>
        <w:spacing w:after="0" w:line="183" w:lineRule="exact"/>
        <w:rPr>
          <w:sz w:val="20"/>
          <w:szCs w:val="20"/>
          <w:color w:val="auto"/>
        </w:rPr>
      </w:pPr>
    </w:p>
    <w:p>
      <w:pPr>
        <w:ind w:left="1120" w:right="2879"/>
        <w:spacing w:after="0" w:line="234" w:lineRule="auto"/>
        <w:rPr>
          <w:sz w:val="20"/>
          <w:szCs w:val="20"/>
          <w:color w:val="auto"/>
        </w:rPr>
      </w:pPr>
      <w:r>
        <w:rPr>
          <w:rFonts w:ascii="Courier New" w:cs="Courier New" w:eastAsia="Courier New" w:hAnsi="Courier New"/>
          <w:sz w:val="16"/>
          <w:szCs w:val="16"/>
          <w:color w:val="auto"/>
        </w:rPr>
        <w:t>"Blue Ridge Purchaser Group" shall refer to "EagleFunding Purchaser Group"; and</w:t>
      </w:r>
    </w:p>
    <w:p>
      <w:pPr>
        <w:spacing w:after="0" w:line="183" w:lineRule="exact"/>
        <w:rPr>
          <w:sz w:val="20"/>
          <w:szCs w:val="20"/>
          <w:color w:val="auto"/>
        </w:rPr>
      </w:pPr>
    </w:p>
    <w:p>
      <w:pPr>
        <w:ind w:left="1120" w:right="3239"/>
        <w:spacing w:after="0" w:line="234" w:lineRule="auto"/>
        <w:rPr>
          <w:sz w:val="20"/>
          <w:szCs w:val="20"/>
          <w:color w:val="auto"/>
        </w:rPr>
      </w:pPr>
      <w:r>
        <w:rPr>
          <w:rFonts w:ascii="Courier New" w:cs="Courier New" w:eastAsia="Courier New" w:hAnsi="Courier New"/>
          <w:sz w:val="16"/>
          <w:szCs w:val="16"/>
          <w:color w:val="auto"/>
        </w:rPr>
        <w:t>"Blue Ridge Purchaser Group Limit" shall refer to "EagleFunding Purchaser Group Limit".</w:t>
      </w:r>
    </w:p>
    <w:p>
      <w:pPr>
        <w:spacing w:after="0" w:line="183"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SECTION 2. Amendments to Receivables Purchase Agreement. Effective as of the Effective Date, the Receivables Purchase Agreement is hereby amended as follows:</w:t>
      </w:r>
    </w:p>
    <w:p>
      <w:pPr>
        <w:spacing w:after="0" w:line="183" w:lineRule="exact"/>
        <w:rPr>
          <w:sz w:val="20"/>
          <w:szCs w:val="20"/>
          <w:color w:val="auto"/>
        </w:rPr>
      </w:pPr>
    </w:p>
    <w:p>
      <w:pPr>
        <w:ind w:right="2959" w:firstLine="554"/>
        <w:spacing w:after="0" w:line="235" w:lineRule="auto"/>
        <w:tabs>
          <w:tab w:leader="none" w:pos="93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references to "a Liberty Street Alternate Funding" and "Liberty Street Alternate Fundings" in Articles I, II, III, IV, V, VI, VII, VIII, IX, X, XI, XII, XIII and XIV the Original Receivables Purchase Agreement are hereby replaced with "an Alternate Funding" and "Alternate Fundings" respectively.</w:t>
      </w:r>
    </w:p>
    <w:p>
      <w:pPr>
        <w:spacing w:after="0" w:line="185" w:lineRule="exact"/>
        <w:rPr>
          <w:rFonts w:ascii="Courier New" w:cs="Courier New" w:eastAsia="Courier New" w:hAnsi="Courier New"/>
          <w:sz w:val="16"/>
          <w:szCs w:val="16"/>
          <w:color w:val="auto"/>
        </w:rPr>
      </w:pPr>
    </w:p>
    <w:p>
      <w:pPr>
        <w:ind w:right="2779" w:firstLine="554"/>
        <w:spacing w:after="0" w:line="234" w:lineRule="auto"/>
        <w:tabs>
          <w:tab w:leader="none" w:pos="93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sentence of Section 1.1 of the Original Receivables Purchase Agreement is hereby replaced with the following:</w:t>
      </w:r>
    </w:p>
    <w:p>
      <w:pPr>
        <w:spacing w:after="0" w:line="183" w:lineRule="exact"/>
        <w:rPr>
          <w:sz w:val="20"/>
          <w:szCs w:val="20"/>
          <w:color w:val="auto"/>
        </w:rPr>
      </w:pPr>
    </w:p>
    <w:p>
      <w:pPr>
        <w:ind w:left="1120" w:right="2779"/>
        <w:spacing w:after="0" w:line="272" w:lineRule="auto"/>
        <w:rPr>
          <w:sz w:val="20"/>
          <w:szCs w:val="20"/>
          <w:color w:val="auto"/>
        </w:rPr>
      </w:pPr>
      <w:r>
        <w:rPr>
          <w:rFonts w:ascii="Courier New" w:cs="Courier New" w:eastAsia="Courier New" w:hAnsi="Courier New"/>
          <w:sz w:val="14"/>
          <w:szCs w:val="14"/>
          <w:color w:val="auto"/>
        </w:rPr>
        <w:t>"Upon the terms and subject to the conditions of this Agreement (including, without limitation, Article V), from time to time during the Revolving Period, prior to the Termination Date, the Seller may request that the Purchasers purchase from the Seller ownership interests in Pool Receivables and Related Assets, and Liberty Street may, in its sole discretion, make such purchase or, if Liberty Street shall decline to make such purchase, the Liberty Street Investors shall make such purchase and EagleFunding may, in its sole discretion, make such purchase or, if EagleFunding shall decline to make such purchase, the EagleFunding Investors shall make such purchase (in any such case, each being a "Purchase"); provided that no Purchase shall be made by any Purchaser if, after giving effect thereto, (a) the Invested Amount would exceed $125,000,000 (as adjusted pursuant to Section 3.2(b)) (the "Purchase Limit"), (b) such Purchaser Group's Purchaser Group Invested Amount would exceed the related Purchaser Group Limit or (c) the Asset Interest, expressed as a percentage of Net Pool Balance, would exceed 100% (the "Allocation Limit"); and provided, further that each Purchase made pursuant to this Section 1.1 shall have a purchase price equal to at least $1,000,000 and shall be an integral multiple of $100,000."</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111" w:name="page112"/>
    <w:bookmarkEnd w:id="111"/>
    <w:p>
      <w:pPr>
        <w:ind w:left="-554" w:right="2959" w:firstLine="554"/>
        <w:spacing w:after="0" w:line="234" w:lineRule="auto"/>
        <w:tabs>
          <w:tab w:leader="none" w:pos="3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1.3(c)(iv) of the Original Receivables Purchase Agreement is hereby replaced with the following:</w:t>
      </w:r>
    </w:p>
    <w:p>
      <w:pPr>
        <w:spacing w:after="0" w:line="183" w:lineRule="exact"/>
        <w:rPr>
          <w:sz w:val="20"/>
          <w:szCs w:val="20"/>
          <w:color w:val="auto"/>
        </w:rPr>
      </w:pPr>
    </w:p>
    <w:p>
      <w:pPr>
        <w:ind w:left="566" w:right="2779"/>
        <w:spacing w:after="0" w:line="236" w:lineRule="auto"/>
        <w:rPr>
          <w:sz w:val="20"/>
          <w:szCs w:val="20"/>
          <w:color w:val="auto"/>
        </w:rPr>
      </w:pPr>
      <w:r>
        <w:rPr>
          <w:rFonts w:ascii="Courier New" w:cs="Courier New" w:eastAsia="Courier New" w:hAnsi="Courier New"/>
          <w:sz w:val="16"/>
          <w:szCs w:val="16"/>
          <w:color w:val="auto"/>
        </w:rPr>
        <w:t>"The Master Servicer shall pay all amounts identified pursuant to Section 1.3(b) to each Purchaser Agent (A) on the last day of the then current Yield Period for any Asset Tranche funded by an Alternate Funding or a Liquidity Funding of such Purchaser Group, as provided in Section 3.1(b), in an amount not exceeding the related Purchaser's Tranche Investment of such Asset Tranche, and (B) on the last day of the then current CP Accrual Period for any Asset Tranche funded by Commercial Paper Notes, as provided in Section 3.1, in an amount not exceeding the related Purchaser's Tranche Investment of such Asset Tranche."</w:t>
      </w:r>
    </w:p>
    <w:p>
      <w:pPr>
        <w:spacing w:after="0" w:line="186" w:lineRule="exact"/>
        <w:rPr>
          <w:sz w:val="20"/>
          <w:szCs w:val="20"/>
          <w:color w:val="auto"/>
        </w:rPr>
      </w:pPr>
    </w:p>
    <w:p>
      <w:pPr>
        <w:ind w:left="-554" w:right="2879" w:firstLine="554"/>
        <w:spacing w:after="0" w:line="234" w:lineRule="auto"/>
        <w:tabs>
          <w:tab w:leader="none" w:pos="37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3.1(c)(iii) of the Original Receivables Purchase Agreement is hereby replaced with the following:</w:t>
      </w:r>
    </w:p>
    <w:p>
      <w:pPr>
        <w:spacing w:after="0" w:line="183" w:lineRule="exact"/>
        <w:rPr>
          <w:sz w:val="20"/>
          <w:szCs w:val="20"/>
          <w:color w:val="auto"/>
        </w:rPr>
      </w:pPr>
    </w:p>
    <w:p>
      <w:pPr>
        <w:ind w:left="566" w:right="2779"/>
        <w:spacing w:after="0" w:line="273" w:lineRule="auto"/>
        <w:rPr>
          <w:sz w:val="20"/>
          <w:szCs w:val="20"/>
          <w:color w:val="auto"/>
        </w:rPr>
      </w:pPr>
      <w:r>
        <w:rPr>
          <w:rFonts w:ascii="Courier New" w:cs="Courier New" w:eastAsia="Courier New" w:hAnsi="Courier New"/>
          <w:sz w:val="14"/>
          <w:szCs w:val="14"/>
          <w:color w:val="auto"/>
        </w:rPr>
        <w:t>"In addition to the payments described in clause (ii) above and clause (iv) below, during the Liquidation Period, the Master Servicer shall pay to each Agent, for the benefit of the related Purchaser, all amounts identified pursuant to Section 1.3 (A) on the last day of the current Yield Period for any Asset Tranche funded by a Liberty Street Alternate Funding or a Liquidity Funding funded by such Purchaser Group, as the case may be, in an amount not exceeding such Purchaser's Tranche Investment of such Asset Tranche, and (B) on the last day of the each CP Accrual Period, in an amount not exceeding such Purchaser's Tranche Investment of the Asset Tranche funded by Commercial Paper Notes issued by such Purchaser Group."</w:t>
      </w:r>
    </w:p>
    <w:p>
      <w:pPr>
        <w:spacing w:after="0" w:line="343" w:lineRule="exact"/>
        <w:rPr>
          <w:sz w:val="20"/>
          <w:szCs w:val="20"/>
          <w:color w:val="auto"/>
        </w:rPr>
      </w:pPr>
    </w:p>
    <w:p>
      <w:pPr>
        <w:ind w:left="-554" w:right="2959" w:firstLine="554"/>
        <w:spacing w:after="0" w:line="234" w:lineRule="auto"/>
        <w:tabs>
          <w:tab w:leader="none" w:pos="37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 of the Original Receivables Purchase Agreement is hereby replaced with the following:</w:t>
      </w:r>
    </w:p>
    <w:p>
      <w:pPr>
        <w:spacing w:after="0" w:line="183" w:lineRule="exact"/>
        <w:rPr>
          <w:sz w:val="20"/>
          <w:szCs w:val="20"/>
          <w:color w:val="auto"/>
        </w:rPr>
      </w:pPr>
    </w:p>
    <w:p>
      <w:pPr>
        <w:jc w:val="both"/>
        <w:ind w:left="566" w:right="2879"/>
        <w:spacing w:after="0" w:line="279" w:lineRule="auto"/>
        <w:rPr>
          <w:sz w:val="20"/>
          <w:szCs w:val="20"/>
          <w:color w:val="auto"/>
        </w:rPr>
      </w:pPr>
      <w:r>
        <w:rPr>
          <w:rFonts w:ascii="Courier New" w:cs="Courier New" w:eastAsia="Courier New" w:hAnsi="Courier New"/>
          <w:sz w:val="14"/>
          <w:szCs w:val="14"/>
          <w:color w:val="auto"/>
        </w:rPr>
        <w:t>"The Seller shall pay to each Purchaser Group Agent for the benefit of the related Purchaser Group the fees and other amounts set forth in the Fee Letters, all such fees and other amounts to be paid from time to time in the amounts set forth in each such Fee Letter."</w:t>
      </w:r>
    </w:p>
    <w:p>
      <w:pPr>
        <w:spacing w:after="0" w:line="151"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(e) A new Section 10.2(d) is hereby added as follows:</w:t>
      </w:r>
    </w:p>
    <w:p>
      <w:pPr>
        <w:spacing w:after="0" w:line="183" w:lineRule="exact"/>
        <w:rPr>
          <w:sz w:val="20"/>
          <w:szCs w:val="20"/>
          <w:color w:val="auto"/>
        </w:rPr>
      </w:pPr>
    </w:p>
    <w:p>
      <w:pPr>
        <w:ind w:left="566" w:right="2879"/>
        <w:spacing w:after="0" w:line="275" w:lineRule="auto"/>
        <w:rPr>
          <w:sz w:val="20"/>
          <w:szCs w:val="20"/>
          <w:color w:val="auto"/>
        </w:rPr>
      </w:pPr>
      <w:r>
        <w:rPr>
          <w:rFonts w:ascii="Courier New" w:cs="Courier New" w:eastAsia="Courier New" w:hAnsi="Courier New"/>
          <w:sz w:val="14"/>
          <w:szCs w:val="14"/>
          <w:color w:val="auto"/>
        </w:rPr>
        <w:t>"(d) The EagleFunding Purchaser Agent may, upon the occurrence of any Liquidation Event, direct the Administrative Agent to take such action under any or all of the Lockbox Agreements such that the Administrative Agent has control over each related Lockbox Account and the Administrative Agent hereby agrees to take such action, to the extent permitted by law, upon receipt of such notice."</w:t>
      </w:r>
    </w:p>
    <w:p>
      <w:pPr>
        <w:spacing w:after="0" w:line="162" w:lineRule="exact"/>
        <w:rPr>
          <w:sz w:val="20"/>
          <w:szCs w:val="20"/>
          <w:color w:val="auto"/>
        </w:rPr>
      </w:pPr>
    </w:p>
    <w:p>
      <w:pPr>
        <w:ind w:left="-554" w:right="2879" w:firstLine="554"/>
        <w:spacing w:after="0" w:line="234" w:lineRule="auto"/>
        <w:tabs>
          <w:tab w:leader="none" w:pos="37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14.1 of the Original Receivables Purchase Agreement is hereby amended by adding the following sentence to the end of such Section:</w:t>
      </w:r>
    </w:p>
    <w:p>
      <w:pPr>
        <w:spacing w:after="0" w:line="177"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666"/>
          </w:cols>
          <w:pgMar w:left="794" w:top="654" w:right="1440" w:bottom="1440" w:gutter="0" w:footer="0" w:header="0"/>
        </w:sectPr>
      </w:pPr>
    </w:p>
    <w:bookmarkStart w:id="112" w:name="page113"/>
    <w:bookmarkEnd w:id="112"/>
    <w:p>
      <w:pPr>
        <w:ind w:left="6" w:right="2779"/>
        <w:spacing w:after="0" w:line="283" w:lineRule="auto"/>
        <w:rPr>
          <w:sz w:val="20"/>
          <w:szCs w:val="20"/>
          <w:color w:val="auto"/>
        </w:rPr>
      </w:pPr>
      <w:r>
        <w:rPr>
          <w:rFonts w:ascii="Courier New" w:cs="Courier New" w:eastAsia="Courier New" w:hAnsi="Courier New"/>
          <w:sz w:val="14"/>
          <w:szCs w:val="14"/>
          <w:color w:val="auto"/>
        </w:rPr>
        <w:t>"To the extent that any Purchaser is required to obtain any confirmation from any rating agency, such confirmation shall be in writing with respect to any material amendment, modification, waiver or consent."</w:t>
      </w:r>
    </w:p>
    <w:p>
      <w:pPr>
        <w:spacing w:after="0" w:line="155" w:lineRule="exact"/>
        <w:rPr>
          <w:sz w:val="20"/>
          <w:szCs w:val="20"/>
          <w:color w:val="auto"/>
        </w:rPr>
      </w:pPr>
    </w:p>
    <w:p>
      <w:pPr>
        <w:ind w:left="-554" w:right="2879" w:firstLine="554"/>
        <w:spacing w:after="0" w:line="234" w:lineRule="auto"/>
        <w:tabs>
          <w:tab w:leader="none" w:pos="37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14.6 of the Original Receivables Purchase Agreement is hereby replaced with the following:</w:t>
      </w:r>
    </w:p>
    <w:p>
      <w:pPr>
        <w:spacing w:after="0" w:line="183" w:lineRule="exact"/>
        <w:rPr>
          <w:sz w:val="20"/>
          <w:szCs w:val="20"/>
          <w:color w:val="auto"/>
        </w:rPr>
      </w:pPr>
    </w:p>
    <w:p>
      <w:pPr>
        <w:ind w:left="6" w:right="2779"/>
        <w:spacing w:after="0" w:line="236" w:lineRule="auto"/>
        <w:rPr>
          <w:sz w:val="20"/>
          <w:szCs w:val="20"/>
          <w:color w:val="auto"/>
        </w:rPr>
      </w:pPr>
      <w:r>
        <w:rPr>
          <w:rFonts w:ascii="Courier New" w:cs="Courier New" w:eastAsia="Courier New" w:hAnsi="Courier New"/>
          <w:sz w:val="16"/>
          <w:szCs w:val="16"/>
          <w:color w:val="auto"/>
        </w:rPr>
        <w:t>"The Master Servicer hereby agrees that it will not institute against the Seller, or join any Person in instituting against the Seller, and each Seller Party, the Master Servicer, Scotiabank (individually, as Administrative Agent and as Liberty Street Purchaser Agent), Fleet National Bank, Fleet Securities, Inc. (individually and as EagleFunding Purchaser Agent) and each Purchaser, as to each other Purchaser, hereby agrees that it will not institute against any Purchaser, or join any other Person in instituting against any Purchaser, any insolvency proceeding (namely, any proceeding of the type referred to in the definition of Event of Bankruptcy) so long as any Commercial Paper Notes issued by such Purchaser shall be outstanding or there shall not have elapsed one year plus one day since the last day on which any such Commercial Paper Notes shall have been outstanding."</w:t>
      </w:r>
    </w:p>
    <w:p>
      <w:pPr>
        <w:spacing w:after="0" w:line="188" w:lineRule="exact"/>
        <w:rPr>
          <w:sz w:val="20"/>
          <w:szCs w:val="20"/>
          <w:color w:val="auto"/>
        </w:rPr>
      </w:pPr>
    </w:p>
    <w:p>
      <w:pPr>
        <w:ind w:left="-554" w:right="3059" w:firstLine="554"/>
        <w:spacing w:after="0" w:line="234" w:lineRule="auto"/>
        <w:tabs>
          <w:tab w:leader="none" w:pos="37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definitions in Appendix A to the Receivables Purchase Agreement are hereby amended as follows:</w:t>
      </w:r>
    </w:p>
    <w:p>
      <w:pPr>
        <w:spacing w:after="0" w:line="183" w:lineRule="exact"/>
        <w:rPr>
          <w:rFonts w:ascii="Courier New" w:cs="Courier New" w:eastAsia="Courier New" w:hAnsi="Courier New"/>
          <w:sz w:val="16"/>
          <w:szCs w:val="16"/>
          <w:color w:val="auto"/>
        </w:rPr>
      </w:pPr>
    </w:p>
    <w:p>
      <w:pPr>
        <w:ind w:left="6" w:right="3159" w:firstLine="552"/>
        <w:spacing w:after="0" w:line="234" w:lineRule="auto"/>
        <w:tabs>
          <w:tab w:leader="none" w:pos="937"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"Collection Account" is hereby amended and restated in its entirety as follows:</w:t>
      </w:r>
    </w:p>
    <w:p>
      <w:pPr>
        <w:spacing w:after="0" w:line="183" w:lineRule="exact"/>
        <w:rPr>
          <w:sz w:val="20"/>
          <w:szCs w:val="20"/>
          <w:color w:val="auto"/>
        </w:rPr>
      </w:pPr>
    </w:p>
    <w:p>
      <w:pPr>
        <w:ind w:left="566" w:right="2879"/>
        <w:spacing w:after="0" w:line="235" w:lineRule="auto"/>
        <w:rPr>
          <w:sz w:val="20"/>
          <w:szCs w:val="20"/>
          <w:color w:val="auto"/>
        </w:rPr>
      </w:pPr>
      <w:r>
        <w:rPr>
          <w:rFonts w:ascii="Courier New" w:cs="Courier New" w:eastAsia="Courier New" w:hAnsi="Courier New"/>
          <w:sz w:val="16"/>
          <w:szCs w:val="16"/>
          <w:color w:val="auto"/>
        </w:rPr>
        <w:t>"Collection Account: The segregated account that may be established and maintained with The Bank of Nova Scotia in the name of the Seller."</w:t>
      </w:r>
    </w:p>
    <w:p>
      <w:pPr>
        <w:spacing w:after="0" w:line="183" w:lineRule="exact"/>
        <w:rPr>
          <w:sz w:val="20"/>
          <w:szCs w:val="20"/>
          <w:color w:val="auto"/>
        </w:rPr>
      </w:pPr>
    </w:p>
    <w:p>
      <w:pPr>
        <w:ind w:left="6" w:right="3239" w:firstLine="552"/>
        <w:spacing w:after="0" w:line="234" w:lineRule="auto"/>
        <w:tabs>
          <w:tab w:leader="none" w:pos="103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"Credit Agreement" is hereby amended and restated in its entirety as follows:</w:t>
      </w:r>
    </w:p>
    <w:p>
      <w:pPr>
        <w:spacing w:after="0" w:line="183" w:lineRule="exact"/>
        <w:rPr>
          <w:sz w:val="20"/>
          <w:szCs w:val="20"/>
          <w:color w:val="auto"/>
        </w:rPr>
      </w:pPr>
    </w:p>
    <w:p>
      <w:pPr>
        <w:ind w:left="566" w:right="2779"/>
        <w:spacing w:after="0" w:line="274" w:lineRule="auto"/>
        <w:rPr>
          <w:sz w:val="20"/>
          <w:szCs w:val="20"/>
          <w:color w:val="auto"/>
        </w:rPr>
      </w:pPr>
      <w:r>
        <w:rPr>
          <w:rFonts w:ascii="Courier New" w:cs="Courier New" w:eastAsia="Courier New" w:hAnsi="Courier New"/>
          <w:sz w:val="14"/>
          <w:szCs w:val="14"/>
          <w:color w:val="auto"/>
        </w:rPr>
        <w:t>"Credit Agreement: That certain Amended and Restated Revolving Credit Facility Agreement dated as of September 11, 2003 by and among Lennox International Inc. as the borrower, certain financial institutions, as the lenders, JPMorgan Chase Bank, as administrative agent for the lenders, Bank of Nova Scotia, The Bank of Tokyo-Mitsubishi, Ltd. and Wells Fargo Bank Texas, N.A., as co-documentation agents and J.P. Morgan Securities, Inc., as sole book runner and lead arranger, as such agreement may be further amended, restated, substituted or replaced from time to time."</w:t>
      </w:r>
    </w:p>
    <w:p>
      <w:pPr>
        <w:spacing w:after="0" w:line="340" w:lineRule="exact"/>
        <w:rPr>
          <w:sz w:val="20"/>
          <w:szCs w:val="20"/>
          <w:color w:val="auto"/>
        </w:rPr>
      </w:pPr>
    </w:p>
    <w:p>
      <w:pPr>
        <w:ind w:left="6" w:right="2879" w:firstLine="552"/>
        <w:spacing w:after="0" w:line="270" w:lineRule="auto"/>
        <w:tabs>
          <w:tab w:leader="none" w:pos="1123"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"Eligible Receivables" is hereby amended by deleting the word "and" at the end of clause (xv) thereof, deleting the period (.) at the end of clause (xvi), adding a semi-colon (;) at the end of clause (xvi) and adding the following additional clauses (xvii) and</w:t>
      </w:r>
    </w:p>
    <w:p>
      <w:pPr>
        <w:ind w:left="746" w:hanging="746"/>
        <w:spacing w:after="0" w:line="236" w:lineRule="auto"/>
        <w:tabs>
          <w:tab w:leader="none" w:pos="74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thereto as follows:</w:t>
      </w:r>
    </w:p>
    <w:p>
      <w:pPr>
        <w:spacing w:after="0" w:line="177"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666"/>
          </w:cols>
          <w:pgMar w:left="794" w:top="654" w:right="1440" w:bottom="1440" w:gutter="0" w:footer="0" w:header="0"/>
        </w:sectPr>
      </w:pPr>
    </w:p>
    <w:bookmarkStart w:id="113" w:name="page114"/>
    <w:bookmarkEnd w:id="113"/>
    <w:p>
      <w:pPr>
        <w:jc w:val="both"/>
        <w:ind w:left="566" w:right="2779"/>
        <w:spacing w:after="0" w:line="276" w:lineRule="auto"/>
        <w:rPr>
          <w:sz w:val="20"/>
          <w:szCs w:val="20"/>
          <w:color w:val="auto"/>
        </w:rPr>
      </w:pPr>
      <w:r>
        <w:rPr>
          <w:rFonts w:ascii="Courier New" w:cs="Courier New" w:eastAsia="Courier New" w:hAnsi="Courier New"/>
          <w:sz w:val="14"/>
          <w:szCs w:val="14"/>
          <w:color w:val="auto"/>
        </w:rPr>
        <w:t>"(xvii) as to which any Purchaser Agent has not notified Seller that such Purchaser Agent has determined that such Receivable or class of Receivables is not acceptable as an Eligible Receivable, including, without limitation, because such Receivable arises under a Contract that is not acceptable to such Purchaser Agent; and</w:t>
      </w:r>
    </w:p>
    <w:p>
      <w:pPr>
        <w:spacing w:after="0" w:line="161" w:lineRule="exact"/>
        <w:rPr>
          <w:sz w:val="20"/>
          <w:szCs w:val="20"/>
          <w:color w:val="auto"/>
        </w:rPr>
      </w:pPr>
    </w:p>
    <w:p>
      <w:pPr>
        <w:ind w:left="566" w:right="2779"/>
        <w:spacing w:after="0" w:line="283" w:lineRule="auto"/>
        <w:rPr>
          <w:sz w:val="20"/>
          <w:szCs w:val="20"/>
          <w:color w:val="auto"/>
        </w:rPr>
      </w:pPr>
      <w:r>
        <w:rPr>
          <w:rFonts w:ascii="Courier New" w:cs="Courier New" w:eastAsia="Courier New" w:hAnsi="Courier New"/>
          <w:sz w:val="14"/>
          <w:szCs w:val="14"/>
          <w:color w:val="auto"/>
        </w:rPr>
        <w:t>"(xviii) until such time as all of the Agents shall have provided to the Seller and to each other their written consents otherwise, the Originator of which was not Advanced Distributor Products LLC."</w:t>
      </w:r>
    </w:p>
    <w:p>
      <w:pPr>
        <w:spacing w:after="0" w:line="155" w:lineRule="exact"/>
        <w:rPr>
          <w:sz w:val="20"/>
          <w:szCs w:val="20"/>
          <w:color w:val="auto"/>
        </w:rPr>
      </w:pPr>
    </w:p>
    <w:p>
      <w:pPr>
        <w:ind w:left="6" w:right="3159" w:firstLine="552"/>
        <w:spacing w:after="0" w:line="234" w:lineRule="auto"/>
        <w:tabs>
          <w:tab w:leader="none" w:pos="103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"Liberty Street Purchaser Group Limit" is hereby amended and restated in its entirety as follows:</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"Liberty Street Purchaser Group Limit: $75,000,000.</w:t>
      </w:r>
    </w:p>
    <w:p>
      <w:pPr>
        <w:spacing w:after="0" w:line="183" w:lineRule="exact"/>
        <w:rPr>
          <w:sz w:val="20"/>
          <w:szCs w:val="20"/>
          <w:color w:val="auto"/>
        </w:rPr>
      </w:pPr>
    </w:p>
    <w:p>
      <w:pPr>
        <w:ind w:left="6" w:right="3059" w:firstLine="552"/>
        <w:spacing w:after="0" w:line="295" w:lineRule="auto"/>
        <w:tabs>
          <w:tab w:leader="none" w:pos="93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proviso clause of clause (ii) of the definition of "Obligor Concentration Limit" is hereby replaced with the following:</w:t>
      </w:r>
    </w:p>
    <w:p>
      <w:pPr>
        <w:spacing w:after="0" w:line="147" w:lineRule="exact"/>
        <w:rPr>
          <w:sz w:val="20"/>
          <w:szCs w:val="20"/>
          <w:color w:val="auto"/>
        </w:rPr>
      </w:pPr>
    </w:p>
    <w:p>
      <w:pPr>
        <w:ind w:left="566" w:right="2879"/>
        <w:spacing w:after="0" w:line="276" w:lineRule="auto"/>
        <w:rPr>
          <w:sz w:val="20"/>
          <w:szCs w:val="20"/>
          <w:color w:val="auto"/>
        </w:rPr>
      </w:pPr>
      <w:r>
        <w:rPr>
          <w:rFonts w:ascii="Courier New" w:cs="Courier New" w:eastAsia="Courier New" w:hAnsi="Courier New"/>
          <w:sz w:val="14"/>
          <w:szCs w:val="14"/>
          <w:color w:val="auto"/>
        </w:rPr>
        <w:t>"provided, however, that any such Special Obligor designation shall not take effect without the confirmation of approval to the Agents by each of Fitch Investors Service, Moody's and S&amp;P of such designation, if any Agent, in its sole discretion, determines that such confirmation of approval shall be required."</w:t>
      </w:r>
    </w:p>
    <w:p>
      <w:pPr>
        <w:spacing w:after="0" w:line="161" w:lineRule="exact"/>
        <w:rPr>
          <w:sz w:val="20"/>
          <w:szCs w:val="20"/>
          <w:color w:val="auto"/>
        </w:rPr>
      </w:pPr>
    </w:p>
    <w:p>
      <w:pPr>
        <w:ind w:left="-554" w:right="3059" w:firstLine="554"/>
        <w:spacing w:after="0" w:line="234" w:lineRule="auto"/>
        <w:tabs>
          <w:tab w:leader="none" w:pos="37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definitions in Appendix A to the Receivables Purchase Agreement are hereby deleted in full:</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Broken Funding Costs";</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CP Costs";</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Liquidity Agreement";</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Liquidity Bank";</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Purchaser Agent";</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Purchaser Account";</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Purchaser Group"; and</w:t>
      </w:r>
    </w:p>
    <w:p>
      <w:pPr>
        <w:spacing w:after="0" w:line="177" w:lineRule="exact"/>
        <w:rPr>
          <w:sz w:val="20"/>
          <w:szCs w:val="20"/>
          <w:color w:val="auto"/>
        </w:rPr>
      </w:pPr>
    </w:p>
    <w:p>
      <w:pPr>
        <w:ind w:left="566"/>
        <w:spacing w:after="0"/>
        <w:rPr>
          <w:sz w:val="20"/>
          <w:szCs w:val="20"/>
          <w:color w:val="auto"/>
        </w:rPr>
      </w:pPr>
      <w:r>
        <w:rPr>
          <w:rFonts w:ascii="Courier New" w:cs="Courier New" w:eastAsia="Courier New" w:hAnsi="Courier New"/>
          <w:sz w:val="16"/>
          <w:szCs w:val="16"/>
          <w:color w:val="auto"/>
        </w:rPr>
        <w:t>"Blue Ridge Purchaser Group Limit".</w:t>
      </w:r>
    </w:p>
    <w:p>
      <w:pPr>
        <w:spacing w:after="0" w:line="177"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666"/>
          </w:cols>
          <w:pgMar w:left="794" w:top="654" w:right="1440" w:bottom="1440" w:gutter="0" w:footer="0" w:header="0"/>
        </w:sectPr>
      </w:pPr>
    </w:p>
    <w:bookmarkStart w:id="114" w:name="page115"/>
    <w:bookmarkEnd w:id="114"/>
    <w:p>
      <w:pPr>
        <w:ind w:left="-554" w:right="3059" w:firstLine="554"/>
        <w:spacing w:after="0" w:line="295" w:lineRule="auto"/>
        <w:tabs>
          <w:tab w:leader="none" w:pos="37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definitions are added in the appropriate alphabetical order to in Appendix A to the Receivables Purchase Agreement :</w:t>
      </w:r>
    </w:p>
    <w:p>
      <w:pPr>
        <w:spacing w:after="0" w:line="147" w:lineRule="exact"/>
        <w:rPr>
          <w:sz w:val="20"/>
          <w:szCs w:val="20"/>
          <w:color w:val="auto"/>
        </w:rPr>
      </w:pPr>
    </w:p>
    <w:p>
      <w:pPr>
        <w:ind w:left="566" w:right="2879"/>
        <w:spacing w:after="0" w:line="234" w:lineRule="auto"/>
        <w:rPr>
          <w:sz w:val="20"/>
          <w:szCs w:val="20"/>
          <w:color w:val="auto"/>
        </w:rPr>
      </w:pPr>
      <w:r>
        <w:rPr>
          <w:rFonts w:ascii="Courier New" w:cs="Courier New" w:eastAsia="Courier New" w:hAnsi="Courier New"/>
          <w:sz w:val="16"/>
          <w:szCs w:val="16"/>
          <w:color w:val="auto"/>
        </w:rPr>
        <w:t>"Alternate Funding: An EagleFunding Alternate Funding and a Liberty Street Alternate Funding.</w:t>
      </w:r>
    </w:p>
    <w:p>
      <w:pPr>
        <w:spacing w:after="0" w:line="183" w:lineRule="exact"/>
        <w:rPr>
          <w:sz w:val="20"/>
          <w:szCs w:val="20"/>
          <w:color w:val="auto"/>
        </w:rPr>
      </w:pPr>
    </w:p>
    <w:p>
      <w:pPr>
        <w:ind w:left="566" w:right="2779"/>
        <w:spacing w:after="0" w:line="235" w:lineRule="auto"/>
        <w:rPr>
          <w:sz w:val="20"/>
          <w:szCs w:val="20"/>
          <w:color w:val="auto"/>
        </w:rPr>
      </w:pPr>
      <w:r>
        <w:rPr>
          <w:rFonts w:ascii="Courier New" w:cs="Courier New" w:eastAsia="Courier New" w:hAnsi="Courier New"/>
          <w:sz w:val="16"/>
          <w:szCs w:val="16"/>
          <w:color w:val="auto"/>
        </w:rPr>
        <w:t>"Fee Letter: For each Purchaser Group, the fee letter (including all amendments, modifications, restatements, replacements and addendums thereto) entered into from time to time by the Seller and the members of such Purchaser Group."</w:t>
      </w:r>
    </w:p>
    <w:p>
      <w:pPr>
        <w:spacing w:after="0" w:line="185" w:lineRule="exact"/>
        <w:rPr>
          <w:sz w:val="20"/>
          <w:szCs w:val="20"/>
          <w:color w:val="auto"/>
        </w:rPr>
      </w:pPr>
    </w:p>
    <w:p>
      <w:pPr>
        <w:ind w:left="566" w:right="2959"/>
        <w:spacing w:after="0" w:line="234" w:lineRule="auto"/>
        <w:rPr>
          <w:sz w:val="20"/>
          <w:szCs w:val="20"/>
          <w:color w:val="auto"/>
        </w:rPr>
      </w:pPr>
      <w:r>
        <w:rPr>
          <w:rFonts w:ascii="Courier New" w:cs="Courier New" w:eastAsia="Courier New" w:hAnsi="Courier New"/>
          <w:sz w:val="16"/>
          <w:szCs w:val="16"/>
          <w:color w:val="auto"/>
        </w:rPr>
        <w:t>"EagleFunding: EagleFunding Capital Corporation and its successors and assigns."</w:t>
      </w:r>
    </w:p>
    <w:p>
      <w:pPr>
        <w:spacing w:after="0" w:line="183" w:lineRule="exact"/>
        <w:rPr>
          <w:sz w:val="20"/>
          <w:szCs w:val="20"/>
          <w:color w:val="auto"/>
        </w:rPr>
      </w:pPr>
    </w:p>
    <w:p>
      <w:pPr>
        <w:ind w:left="566" w:right="3339"/>
        <w:spacing w:after="0" w:line="283" w:lineRule="auto"/>
        <w:rPr>
          <w:sz w:val="20"/>
          <w:szCs w:val="20"/>
          <w:color w:val="auto"/>
        </w:rPr>
      </w:pPr>
      <w:r>
        <w:rPr>
          <w:rFonts w:ascii="Courier New" w:cs="Courier New" w:eastAsia="Courier New" w:hAnsi="Courier New"/>
          <w:sz w:val="14"/>
          <w:szCs w:val="14"/>
          <w:color w:val="auto"/>
        </w:rPr>
        <w:t>EagleFunding Alternate Funding: The portion of the outstanding Invested Amount of any Asset Tranche that is funded by the EagleFunding Investors pursuant to Section 1.1</w:t>
      </w:r>
    </w:p>
    <w:p>
      <w:pPr>
        <w:spacing w:after="0" w:line="155" w:lineRule="exact"/>
        <w:rPr>
          <w:sz w:val="20"/>
          <w:szCs w:val="20"/>
          <w:color w:val="auto"/>
        </w:rPr>
      </w:pPr>
    </w:p>
    <w:p>
      <w:pPr>
        <w:ind w:left="566" w:right="2779"/>
        <w:spacing w:after="0" w:line="271" w:lineRule="auto"/>
        <w:rPr>
          <w:sz w:val="20"/>
          <w:szCs w:val="20"/>
          <w:color w:val="auto"/>
        </w:rPr>
      </w:pPr>
      <w:r>
        <w:rPr>
          <w:rFonts w:ascii="Courier New" w:cs="Courier New" w:eastAsia="Courier New" w:hAnsi="Courier New"/>
          <w:sz w:val="14"/>
          <w:szCs w:val="14"/>
          <w:color w:val="auto"/>
        </w:rPr>
        <w:t>"EagleFunding Broken Funding Costs: For any Asset Tranche funded by any EagleFunding Investor which: (i) has its Purchaser Group Invested Amount reduced without compliance by the Seller with the notice requirements hereunder, (ii) does not become subject to a reduction following the delivery of any reduction notice pursuant to Section 3.2(b), or (iii) is assigned under an EagleFunding Liquidity Agreement or terminated prior to the date on which it was originally scheduled to end, including by the written notice of Seller that it wishes to terminate the facility evidenced by this Agreement; an amount equal to the excess, if any, of (A) the EagleFunding CP Costs or Earned Discount (as applicable) that would have accrued during the remainder of the Yield Periods or the tranche periods for Commercial Paper determined by the EagleFunding Purchaser Agent to relate to such Asset Tranche (as applicable) subsequent to the date of such reduction, assignment or termination (or in respect of clause (ii) above, the date such reduction was designated to occur pursuant to the reduction notice) of the EagleFunding Invested Amount of such Asset Tranche if such reduction, assignment or termination had not occurred or such Reduction Notice had not been delivered, over (B) the sum of (x) to the extent all or a portion of such EagleFunding Invested Amount is allocated to another Asset Tranche, the amount of Eagle Funding CP Costs or Earned Discount actually accrued during the remainder of such period on such EagleFunding Invested Amount for the new Asset Tranche, and (y) to the extent such EagleFunding Invested Amount is not allocated to another Asset Tranche, the income, if any, actually received during the remainder of such period by the holder of such Asset Tranche from investing the portion of such EagleFunding Invested Amount not so allocated. All EagleFunding Broken Funding Costs shall be due and payable hereunder upon after written demand."</w:t>
      </w:r>
    </w:p>
    <w:p>
      <w:pPr>
        <w:spacing w:after="0" w:line="200" w:lineRule="exact"/>
        <w:rPr>
          <w:sz w:val="20"/>
          <w:szCs w:val="20"/>
          <w:color w:val="auto"/>
        </w:rPr>
      </w:pPr>
    </w:p>
    <w:p>
      <w:pPr>
        <w:spacing w:after="0" w:line="331" w:lineRule="exact"/>
        <w:rPr>
          <w:sz w:val="20"/>
          <w:szCs w:val="20"/>
          <w:color w:val="auto"/>
        </w:rPr>
      </w:pPr>
    </w:p>
    <w:p>
      <w:pPr>
        <w:jc w:val="both"/>
        <w:ind w:left="566" w:right="3239"/>
        <w:spacing w:after="0" w:line="235" w:lineRule="auto"/>
        <w:rPr>
          <w:sz w:val="20"/>
          <w:szCs w:val="20"/>
          <w:color w:val="auto"/>
        </w:rPr>
      </w:pPr>
      <w:r>
        <w:rPr>
          <w:rFonts w:ascii="Courier New" w:cs="Courier New" w:eastAsia="Courier New" w:hAnsi="Courier New"/>
          <w:sz w:val="16"/>
          <w:szCs w:val="16"/>
          <w:color w:val="auto"/>
        </w:rPr>
        <w:t>"EagleFunding CP Costs: For any CP Accrual Period for any Asset Tranche owned by EagleFunding if and to the extent EagleFunding funds the Purchase or</w:t>
      </w:r>
    </w:p>
    <w:p>
      <w:pPr>
        <w:spacing w:after="0" w:line="177"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666"/>
          </w:cols>
          <w:pgMar w:left="794" w:top="654" w:right="1440" w:bottom="1440" w:gutter="0" w:footer="0" w:header="0"/>
        </w:sectPr>
      </w:pPr>
    </w:p>
    <w:bookmarkStart w:id="115" w:name="page116"/>
    <w:bookmarkEnd w:id="115"/>
    <w:p>
      <w:pPr>
        <w:ind w:left="8" w:right="2779"/>
        <w:spacing w:after="0" w:line="273" w:lineRule="auto"/>
        <w:rPr>
          <w:sz w:val="20"/>
          <w:szCs w:val="20"/>
          <w:color w:val="auto"/>
        </w:rPr>
      </w:pPr>
      <w:r>
        <w:rPr>
          <w:rFonts w:ascii="Courier New" w:cs="Courier New" w:eastAsia="Courier New" w:hAnsi="Courier New"/>
          <w:sz w:val="14"/>
          <w:szCs w:val="14"/>
          <w:color w:val="auto"/>
        </w:rPr>
        <w:t>maintenance of its Asset Tranche by the issuance of commercial paper notes during such period, the per annum rate equivalent to the "weighted average cost" (as defined below) related to the issuances of commercial paper notes that are allocated, in whole or in part, by EagleFunding (or by its administrator) to fund or maintain the Asset Tranche (and which may also be allocated in part to the funding of other assets of EagleFunding); provided, however, that if any component of such rate is a discount rate, in calculating the "CP Rate" for such CP Accrual Period, EagleFunding shall for such component use the rate resulting from converting such discount rate to an interest bearing equivalent rate per annum. As used in this definition, EagleFunding's "weighted average cost" shall consist of</w:t>
      </w:r>
    </w:p>
    <w:p>
      <w:pPr>
        <w:spacing w:after="0" w:line="162" w:lineRule="exact"/>
        <w:rPr>
          <w:sz w:val="20"/>
          <w:szCs w:val="20"/>
          <w:color w:val="auto"/>
        </w:rPr>
      </w:pPr>
    </w:p>
    <w:p>
      <w:pPr>
        <w:ind w:left="8" w:right="2779" w:hanging="8"/>
        <w:spacing w:after="0" w:line="236" w:lineRule="auto"/>
        <w:tabs>
          <w:tab w:leader="none" w:pos="3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rate (or discount) paid to purchasers of EagleFunding's commercial paper notes, together with dealer fees or commissions, to the extent allocated, in whole or in part, to EagleFunding's commercial paper notes by EagleFunding (or its administrator), (x) certain documentation and transaction costs associated with the issuance of such commercial paper notes, (y) any incremental carrying costs incurred with respect to commercial paper notes maturing on dates other than those on which corresponding funds are received by EagleFunding and (z) other borrowing by EagleFunding, including borrowings to fund small or odd dollar amounts that are not easily accommodated in the commercial paper market."</w:t>
      </w:r>
    </w:p>
    <w:p>
      <w:pPr>
        <w:spacing w:after="0" w:line="187" w:lineRule="exact"/>
        <w:rPr>
          <w:sz w:val="20"/>
          <w:szCs w:val="20"/>
          <w:color w:val="auto"/>
        </w:rPr>
      </w:pPr>
    </w:p>
    <w:p>
      <w:pPr>
        <w:ind w:left="8" w:right="2779"/>
        <w:spacing w:after="0" w:line="235" w:lineRule="auto"/>
        <w:rPr>
          <w:sz w:val="20"/>
          <w:szCs w:val="20"/>
          <w:color w:val="auto"/>
        </w:rPr>
      </w:pPr>
      <w:r>
        <w:rPr>
          <w:rFonts w:ascii="Courier New" w:cs="Courier New" w:eastAsia="Courier New" w:hAnsi="Courier New"/>
          <w:sz w:val="16"/>
          <w:szCs w:val="16"/>
          <w:color w:val="auto"/>
        </w:rPr>
        <w:t>"EagleFunding Investors: Fleet National Bank and such other financial institutions from time to time identified as "EagleFunding Investors"."</w:t>
      </w:r>
    </w:p>
    <w:p>
      <w:pPr>
        <w:spacing w:after="0" w:line="183" w:lineRule="exact"/>
        <w:rPr>
          <w:sz w:val="20"/>
          <w:szCs w:val="20"/>
          <w:color w:val="auto"/>
        </w:rPr>
      </w:pPr>
    </w:p>
    <w:p>
      <w:pPr>
        <w:ind w:left="8" w:right="2779"/>
        <w:spacing w:after="0" w:line="235" w:lineRule="auto"/>
        <w:rPr>
          <w:sz w:val="20"/>
          <w:szCs w:val="20"/>
          <w:color w:val="auto"/>
        </w:rPr>
      </w:pPr>
      <w:r>
        <w:rPr>
          <w:rFonts w:ascii="Courier New" w:cs="Courier New" w:eastAsia="Courier New" w:hAnsi="Courier New"/>
          <w:sz w:val="16"/>
          <w:szCs w:val="16"/>
          <w:color w:val="auto"/>
        </w:rPr>
        <w:t>"EagleFunding Liquidity Agreement: The Liquidity Asset Purchase Agreement, dated as of December 31, 2003, by and among EagleFunding, Fleet Securities, Inc., Fleet National Bank and the EagleFunding Liquidity Banks."</w:t>
      </w:r>
    </w:p>
    <w:p>
      <w:pPr>
        <w:spacing w:after="0" w:line="185" w:lineRule="exact"/>
        <w:rPr>
          <w:sz w:val="20"/>
          <w:szCs w:val="20"/>
          <w:color w:val="auto"/>
        </w:rPr>
      </w:pPr>
    </w:p>
    <w:p>
      <w:pPr>
        <w:ind w:left="8" w:right="3059"/>
        <w:spacing w:after="0" w:line="235" w:lineRule="auto"/>
        <w:rPr>
          <w:sz w:val="20"/>
          <w:szCs w:val="20"/>
          <w:color w:val="auto"/>
        </w:rPr>
      </w:pPr>
      <w:r>
        <w:rPr>
          <w:rFonts w:ascii="Courier New" w:cs="Courier New" w:eastAsia="Courier New" w:hAnsi="Courier New"/>
          <w:sz w:val="16"/>
          <w:szCs w:val="16"/>
          <w:color w:val="auto"/>
        </w:rPr>
        <w:t>"EagleFunding Liquidity Bank: The commercial lending institutions that are at any time parties to the EagleFunding Liquidity Agreement."</w:t>
      </w:r>
    </w:p>
    <w:p>
      <w:pPr>
        <w:spacing w:after="0" w:line="183" w:lineRule="exact"/>
        <w:rPr>
          <w:sz w:val="20"/>
          <w:szCs w:val="20"/>
          <w:color w:val="auto"/>
        </w:rPr>
      </w:pPr>
    </w:p>
    <w:p>
      <w:pPr>
        <w:ind w:left="8" w:right="3439"/>
        <w:spacing w:after="0" w:line="234" w:lineRule="auto"/>
        <w:rPr>
          <w:sz w:val="20"/>
          <w:szCs w:val="20"/>
          <w:color w:val="auto"/>
        </w:rPr>
      </w:pPr>
      <w:r>
        <w:rPr>
          <w:rFonts w:ascii="Courier New" w:cs="Courier New" w:eastAsia="Courier New" w:hAnsi="Courier New"/>
          <w:sz w:val="16"/>
          <w:szCs w:val="16"/>
          <w:color w:val="auto"/>
        </w:rPr>
        <w:t>"EagleFunding Purchaser Agent: Fleet Securities, Inc. and its successors."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6"/>
          <w:szCs w:val="16"/>
          <w:color w:val="auto"/>
        </w:rPr>
        <w:t>"EagleFunding Purchaser Account: Account number 014-19-647 at</w:t>
      </w:r>
    </w:p>
    <w:p>
      <w:pPr>
        <w:ind w:left="8"/>
        <w:spacing w:after="0" w:line="236" w:lineRule="auto"/>
        <w:rPr>
          <w:sz w:val="20"/>
          <w:szCs w:val="20"/>
          <w:color w:val="auto"/>
        </w:rPr>
      </w:pPr>
      <w:r>
        <w:rPr>
          <w:rFonts w:ascii="Courier New" w:cs="Courier New" w:eastAsia="Courier New" w:hAnsi="Courier New"/>
          <w:sz w:val="16"/>
          <w:szCs w:val="16"/>
          <w:color w:val="auto"/>
        </w:rPr>
        <w:t>Bankers Trust, ABA number 021001033, reference: LPAC Corp."</w:t>
      </w:r>
    </w:p>
    <w:p>
      <w:pPr>
        <w:spacing w:after="0" w:line="183" w:lineRule="exact"/>
        <w:rPr>
          <w:sz w:val="20"/>
          <w:szCs w:val="20"/>
          <w:color w:val="auto"/>
        </w:rPr>
      </w:pPr>
    </w:p>
    <w:p>
      <w:pPr>
        <w:ind w:left="8" w:right="2959"/>
        <w:spacing w:after="0" w:line="235" w:lineRule="auto"/>
        <w:rPr>
          <w:sz w:val="20"/>
          <w:szCs w:val="20"/>
          <w:color w:val="auto"/>
        </w:rPr>
      </w:pPr>
      <w:r>
        <w:rPr>
          <w:rFonts w:ascii="Courier New" w:cs="Courier New" w:eastAsia="Courier New" w:hAnsi="Courier New"/>
          <w:sz w:val="16"/>
          <w:szCs w:val="16"/>
          <w:color w:val="auto"/>
        </w:rPr>
        <w:t>"EagleFunding Purchaser Group: EagleFunding, Fleet National Bank, each other EagleFunding Liquidity Bank, the EagleFunding Purchaser Agent, together with their respective successors, assigns and participants."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6"/>
          <w:szCs w:val="16"/>
          <w:color w:val="auto"/>
        </w:rPr>
        <w:t>"EagleFunding Purchaser Group Limit: $50,000,000."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6"/>
          <w:szCs w:val="16"/>
          <w:color w:val="auto"/>
        </w:rPr>
        <w:t>"Effective Date" December 31, 2003."</w:t>
      </w:r>
    </w:p>
    <w:p>
      <w:pPr>
        <w:spacing w:after="0" w:line="183" w:lineRule="exact"/>
        <w:rPr>
          <w:sz w:val="20"/>
          <w:szCs w:val="20"/>
          <w:color w:val="auto"/>
        </w:rPr>
      </w:pPr>
    </w:p>
    <w:p>
      <w:pPr>
        <w:ind w:left="8" w:right="3239"/>
        <w:spacing w:after="0" w:line="234" w:lineRule="auto"/>
        <w:rPr>
          <w:sz w:val="20"/>
          <w:szCs w:val="20"/>
          <w:color w:val="auto"/>
        </w:rPr>
      </w:pPr>
      <w:r>
        <w:rPr>
          <w:rFonts w:ascii="Courier New" w:cs="Courier New" w:eastAsia="Courier New" w:hAnsi="Courier New"/>
          <w:sz w:val="16"/>
          <w:szCs w:val="16"/>
          <w:color w:val="auto"/>
        </w:rPr>
        <w:t>"Program Fee: The aggregate "Program Fee" set forth in each Fee Letter."</w:t>
      </w:r>
    </w:p>
    <w:p>
      <w:pPr>
        <w:spacing w:after="0" w:line="177" w:lineRule="exact"/>
        <w:rPr>
          <w:sz w:val="20"/>
          <w:szCs w:val="20"/>
          <w:color w:val="auto"/>
        </w:rPr>
      </w:pPr>
    </w:p>
    <w:p>
      <w:pPr>
        <w:ind w:left="2508"/>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108"/>
          </w:cols>
          <w:pgMar w:left="1352" w:top="654" w:right="1440" w:bottom="1440" w:gutter="0" w:footer="0" w:header="0"/>
        </w:sectPr>
      </w:pPr>
    </w:p>
    <w:bookmarkStart w:id="116" w:name="page117"/>
    <w:bookmarkEnd w:id="116"/>
    <w:p>
      <w:pPr>
        <w:ind w:left="1120" w:right="3439"/>
        <w:spacing w:after="0" w:line="234" w:lineRule="auto"/>
        <w:rPr>
          <w:sz w:val="20"/>
          <w:szCs w:val="20"/>
          <w:color w:val="auto"/>
        </w:rPr>
      </w:pPr>
      <w:r>
        <w:rPr>
          <w:rFonts w:ascii="Courier New" w:cs="Courier New" w:eastAsia="Courier New" w:hAnsi="Courier New"/>
          <w:sz w:val="16"/>
          <w:szCs w:val="16"/>
          <w:color w:val="auto"/>
        </w:rPr>
        <w:t>"Unused Fee: The aggregate "Unused Fee" set forth in each Fee Letter."</w:t>
      </w:r>
    </w:p>
    <w:p>
      <w:pPr>
        <w:spacing w:after="0" w:line="183" w:lineRule="exact"/>
        <w:rPr>
          <w:sz w:val="20"/>
          <w:szCs w:val="20"/>
          <w:color w:val="auto"/>
        </w:rPr>
      </w:pPr>
    </w:p>
    <w:p>
      <w:pPr>
        <w:ind w:right="2879" w:firstLine="554"/>
        <w:spacing w:after="0" w:line="234" w:lineRule="auto"/>
        <w:tabs>
          <w:tab w:leader="none" w:pos="93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14.2 of the Receivables Purchase Agreement is hereby deleted and replaced with Schedule 14.2 attached hereto.</w:t>
      </w:r>
    </w:p>
    <w:p>
      <w:pPr>
        <w:spacing w:after="0" w:line="183" w:lineRule="exact"/>
        <w:rPr>
          <w:sz w:val="20"/>
          <w:szCs w:val="20"/>
          <w:color w:val="auto"/>
        </w:rPr>
      </w:pPr>
    </w:p>
    <w:p>
      <w:pPr>
        <w:jc w:val="both"/>
        <w:ind w:right="2779" w:firstLine="558"/>
        <w:spacing w:after="0" w:line="235" w:lineRule="auto"/>
        <w:rPr>
          <w:sz w:val="20"/>
          <w:szCs w:val="20"/>
          <w:color w:val="auto"/>
        </w:rPr>
      </w:pPr>
      <w:r>
        <w:rPr>
          <w:rFonts w:ascii="Courier New" w:cs="Courier New" w:eastAsia="Courier New" w:hAnsi="Courier New"/>
          <w:sz w:val="16"/>
          <w:szCs w:val="16"/>
          <w:color w:val="auto"/>
        </w:rPr>
        <w:t>SECTION 3. Effective Date. This Amendment shall become effective as of the date (the "Effective Date") on which each of the following conditions precedent shall have been satisfied:</w:t>
      </w:r>
    </w:p>
    <w:p>
      <w:pPr>
        <w:spacing w:after="0" w:line="183" w:lineRule="exact"/>
        <w:rPr>
          <w:sz w:val="20"/>
          <w:szCs w:val="20"/>
          <w:color w:val="auto"/>
        </w:rPr>
      </w:pPr>
    </w:p>
    <w:p>
      <w:pPr>
        <w:ind w:right="3239" w:firstLine="554"/>
        <w:spacing w:after="0" w:line="279" w:lineRule="auto"/>
        <w:tabs>
          <w:tab w:leader="none" w:pos="93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Each of the following shall have been executed and delivered by a duly authorized officer of each party thereto: (i) this Amendment, (ii) each amendment dated the date hereof to each of the Lockbox Agreements and (ii) each of the Fee Letters dated the date hereof.</w:t>
      </w:r>
    </w:p>
    <w:p>
      <w:pPr>
        <w:spacing w:after="0" w:line="156" w:lineRule="exact"/>
        <w:rPr>
          <w:rFonts w:ascii="Courier New" w:cs="Courier New" w:eastAsia="Courier New" w:hAnsi="Courier New"/>
          <w:sz w:val="14"/>
          <w:szCs w:val="14"/>
          <w:color w:val="auto"/>
        </w:rPr>
      </w:pPr>
    </w:p>
    <w:p>
      <w:pPr>
        <w:ind w:right="2879" w:firstLine="554"/>
        <w:spacing w:after="0" w:line="276" w:lineRule="auto"/>
        <w:tabs>
          <w:tab w:leader="none" w:pos="93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Amounts owing to Blue Ridge. (i) All of the fees and other amounts due and payable on the date hereof pursuant to the Fee Letters shall have been received by each of the Agents by wire transfer in immediately available funds and (ii) the Blue Ridge Purchaser Agent shall have received, by wire transfer in immediately available funds, the Blue Ridge Repayment Amount.</w:t>
      </w:r>
    </w:p>
    <w:p>
      <w:pPr>
        <w:spacing w:after="0" w:line="161" w:lineRule="exact"/>
        <w:rPr>
          <w:rFonts w:ascii="Courier New" w:cs="Courier New" w:eastAsia="Courier New" w:hAnsi="Courier New"/>
          <w:sz w:val="14"/>
          <w:szCs w:val="14"/>
          <w:color w:val="auto"/>
        </w:rPr>
      </w:pPr>
    </w:p>
    <w:p>
      <w:pPr>
        <w:ind w:right="3239" w:firstLine="554"/>
        <w:spacing w:after="0" w:line="234" w:lineRule="auto"/>
        <w:tabs>
          <w:tab w:leader="none" w:pos="93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Statements and Search Reports. The Administrative Agent shall have received:</w:t>
      </w:r>
    </w:p>
    <w:p>
      <w:pPr>
        <w:spacing w:after="0" w:line="183" w:lineRule="exact"/>
        <w:rPr>
          <w:rFonts w:ascii="Courier New" w:cs="Courier New" w:eastAsia="Courier New" w:hAnsi="Courier New"/>
          <w:sz w:val="16"/>
          <w:szCs w:val="16"/>
          <w:color w:val="auto"/>
        </w:rPr>
      </w:pPr>
    </w:p>
    <w:p>
      <w:pPr>
        <w:ind w:left="560" w:right="3059" w:firstLine="552"/>
        <w:spacing w:after="0" w:line="236" w:lineRule="auto"/>
        <w:tabs>
          <w:tab w:leader="none" w:pos="149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Acknowledgement copies of proper Financing Statements and/or amendments to existing Financing Statements, duly filed with the appropriate filing offices before the Effective Date, or other similar instruments or documents, as may be necessary or, in the opinion of the Scotiabank, desirable under the UCC of all appropriate jurisdictions or any comparable law to perfect the Secured Parties' security interest in the Collateral.</w:t>
      </w:r>
    </w:p>
    <w:p>
      <w:pPr>
        <w:spacing w:after="0" w:line="183" w:lineRule="exact"/>
        <w:rPr>
          <w:rFonts w:ascii="Courier New" w:cs="Courier New" w:eastAsia="Courier New" w:hAnsi="Courier New"/>
          <w:sz w:val="16"/>
          <w:szCs w:val="16"/>
          <w:color w:val="auto"/>
        </w:rPr>
      </w:pPr>
    </w:p>
    <w:p>
      <w:pPr>
        <w:ind w:left="560" w:right="2959" w:firstLine="552"/>
        <w:spacing w:after="0" w:line="235" w:lineRule="auto"/>
        <w:tabs>
          <w:tab w:leader="none" w:pos="1583"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copies of Requests for Information or Copies (Form UCC-11) (or a similar search report certified by a party acceptable to Scotiabank), dated before the Effective Date, listing all effective financing statements which name the Seller as debtor and which are filed with the Delaware Secretary of State.</w:t>
      </w:r>
    </w:p>
    <w:p>
      <w:pPr>
        <w:spacing w:after="0" w:line="185" w:lineRule="exact"/>
        <w:rPr>
          <w:rFonts w:ascii="Courier New" w:cs="Courier New" w:eastAsia="Courier New" w:hAnsi="Courier New"/>
          <w:sz w:val="16"/>
          <w:szCs w:val="16"/>
          <w:color w:val="auto"/>
        </w:rPr>
      </w:pPr>
    </w:p>
    <w:p>
      <w:pPr>
        <w:ind w:right="2779" w:firstLine="554"/>
        <w:spacing w:after="0" w:line="276" w:lineRule="auto"/>
        <w:tabs>
          <w:tab w:leader="none" w:pos="93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Agent shall have received a Certificate of an officer of each of the Seller and the Master Servicer certifying that the representations and warranties of each of the Seller and the Master Servicer contained in the Transaction Documents are true and correct on and as of the date hereof as though made on and as of the date hereof.</w:t>
      </w:r>
    </w:p>
    <w:p>
      <w:pPr>
        <w:spacing w:after="0" w:line="161" w:lineRule="exact"/>
        <w:rPr>
          <w:rFonts w:ascii="Courier New" w:cs="Courier New" w:eastAsia="Courier New" w:hAnsi="Courier New"/>
          <w:sz w:val="14"/>
          <w:szCs w:val="14"/>
          <w:color w:val="auto"/>
        </w:rPr>
      </w:pPr>
    </w:p>
    <w:p>
      <w:pPr>
        <w:ind w:right="3519" w:firstLine="554"/>
        <w:spacing w:after="0" w:line="235" w:lineRule="auto"/>
        <w:tabs>
          <w:tab w:leader="none" w:pos="93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The Seller and the Master Servicer shall each be in compliance with each of its covenants set forth herein and each of the Transaction Documents to which it is a party.</w:t>
      </w:r>
    </w:p>
    <w:p>
      <w:pPr>
        <w:spacing w:after="0" w:line="183" w:lineRule="exact"/>
        <w:rPr>
          <w:rFonts w:ascii="Courier New" w:cs="Courier New" w:eastAsia="Courier New" w:hAnsi="Courier New"/>
          <w:sz w:val="16"/>
          <w:szCs w:val="16"/>
          <w:color w:val="auto"/>
        </w:rPr>
      </w:pPr>
    </w:p>
    <w:p>
      <w:pPr>
        <w:ind w:right="3239" w:firstLine="554"/>
        <w:spacing w:after="0" w:line="234" w:lineRule="auto"/>
        <w:tabs>
          <w:tab w:leader="none" w:pos="93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No event has occurred which constitutes a Liquidation Event and the Termination Date shall not have occurred.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117" w:name="page118"/>
    <w:bookmarkEnd w:id="117"/>
    <w:p>
      <w:pPr>
        <w:ind w:left="-554" w:right="2879" w:firstLine="554"/>
        <w:spacing w:after="0" w:line="235" w:lineRule="auto"/>
        <w:tabs>
          <w:tab w:leader="none" w:pos="37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The Seller and the Master Servicer shall each have taken such other action, including delivery of approvals, consents, opinions, documents and instruments, as Scotiabank may request.</w:t>
      </w:r>
    </w:p>
    <w:p>
      <w:pPr>
        <w:spacing w:after="0" w:line="177"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SECTION 4. Miscellaneous.</w:t>
      </w:r>
    </w:p>
    <w:p>
      <w:pPr>
        <w:spacing w:after="0" w:line="183" w:lineRule="exact"/>
        <w:rPr>
          <w:sz w:val="20"/>
          <w:szCs w:val="20"/>
          <w:color w:val="auto"/>
        </w:rPr>
      </w:pPr>
    </w:p>
    <w:p>
      <w:pPr>
        <w:ind w:left="-554" w:right="2779" w:firstLine="554"/>
        <w:spacing w:after="0" w:line="271" w:lineRule="auto"/>
        <w:tabs>
          <w:tab w:leader="none" w:pos="37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Each of the Seller, the Master Servicer and each Originator (each, a "Lennox Party") hereby agrees, notwithstanding any provision to the contrary in any Transaction Document, and in addition to any right contained in the Transaction Documents, that within sixty (60) days after the Effective Date, to permit each Purchaser Agent, on the related Purchaser's behalf, or any of its agents or representatives, (i) to examine and make copies of and abstracts from all books, records and documents (including, without limitation, computer tapes and disks) in the possession or under the control of such Lennox Party relating to Pool Receivables, including, without limitation, the related Contracts and purchase orders and other agreements, and (ii) to visit the offices and properties of such Lennox Party for the purpose of examining such materials described in clause (a)(i) next above, and to discuss matters relating to Pool Receivables or such Seller Party's performance hereunder with any of the officers or employees (with notification to and coordination with the treasurer of such Lennox Party or his/her designee) of such Lennox Party having knowledge of such matters; (x) permit each Purchaser Agent or any of its respective agents or representatives to meet with the independent auditors of such Lennox Party, to review such auditors' work papers and otherwise to review with such auditors the books and records of such Lennox Party with respect to the Pool Receivables and Related Assets; and (y) without limiting the provisions of clause (x) or (y) next above, from time to time, at the expense of such Lennox Party, permit certified public accountants or other auditors acceptable to each Purchaser Agent to conduct a review of such Lennox Party's books and records with respect to the Pool Receivables and Related Assets.</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left="-554" w:right="2779" w:firstLine="554"/>
        <w:spacing w:after="0" w:line="273" w:lineRule="auto"/>
        <w:tabs>
          <w:tab w:leader="none" w:pos="37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Director. Lennox and each of the Originators hereby agree with the Seller for the benefit of each of the Purchasers that they will take all action necessary to obtain the services of, and shall vote their shares of stock of the Seller in favor of, a independent director to serve on the board of directors of the Seller, such independent director to be subject to the prior written approval of each of the Agents (such independent director being the "Independent Director"). Lennox and each of the Originators hereby agree with the Seller for the benefit of each of the Purchasers that the Seller will at all times from and after April 30, 2004 have at least one (1) Independent Director.</w:t>
      </w:r>
    </w:p>
    <w:p>
      <w:pPr>
        <w:spacing w:after="0" w:line="165" w:lineRule="exact"/>
        <w:rPr>
          <w:rFonts w:ascii="Courier New" w:cs="Courier New" w:eastAsia="Courier New" w:hAnsi="Courier New"/>
          <w:sz w:val="14"/>
          <w:szCs w:val="14"/>
          <w:color w:val="auto"/>
        </w:rPr>
      </w:pPr>
    </w:p>
    <w:p>
      <w:pPr>
        <w:ind w:left="-554" w:right="2879" w:firstLine="554"/>
        <w:spacing w:after="0" w:line="236" w:lineRule="auto"/>
        <w:tabs>
          <w:tab w:leader="none" w:pos="37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in Transaction Documents. Upon the effectiveness of this Amendment, each reference in a Transaction Document to "this Agreement", "hereunder", "hereof", "herein", or words of like import shall mean and be a reference to such Transaction Document as amended hereby, and each reference to a Transaction Document in any other Transaction Document or any other document, instrument or agreement, executed and/or delivered in connection with any Transaction Document shall mean and be a reference to such Transaction Document as amended hereby.</w:t>
      </w:r>
    </w:p>
    <w:p>
      <w:pPr>
        <w:spacing w:after="0" w:line="178"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666"/>
          </w:cols>
          <w:pgMar w:left="794" w:top="654" w:right="1440" w:bottom="1440" w:gutter="0" w:footer="0" w:header="0"/>
        </w:sectPr>
      </w:pPr>
    </w:p>
    <w:bookmarkStart w:id="118" w:name="page119"/>
    <w:bookmarkEnd w:id="118"/>
    <w:p>
      <w:pPr>
        <w:ind w:left="-554" w:right="2779" w:firstLine="554"/>
        <w:spacing w:after="0" w:line="235"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Transaction Documents. Except as specifically amended above, the Transaction Documents and all other documents, instruments and agreements executed and/or delivered in connection therewith shall remain in full force and effect and are hereby ratified and confirmed.</w:t>
      </w:r>
    </w:p>
    <w:p>
      <w:pPr>
        <w:spacing w:after="0" w:line="184" w:lineRule="exact"/>
        <w:rPr>
          <w:rFonts w:ascii="Courier New" w:cs="Courier New" w:eastAsia="Courier New" w:hAnsi="Courier New"/>
          <w:sz w:val="16"/>
          <w:szCs w:val="16"/>
          <w:color w:val="auto"/>
        </w:rPr>
      </w:pPr>
    </w:p>
    <w:p>
      <w:pPr>
        <w:ind w:left="-554" w:right="2779" w:firstLine="554"/>
        <w:spacing w:after="0" w:line="235"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Waiver. The execution, delivery and effectiveness of this Amendment shall not operate as a waiver of any right, power or remedy of any Person under any Transaction Document or any other document, instrument or agreement executed in connection therewith, nor constitute a waiver of any provision contained therein.</w:t>
      </w:r>
    </w:p>
    <w:p>
      <w:pPr>
        <w:spacing w:after="0" w:line="185" w:lineRule="exact"/>
        <w:rPr>
          <w:rFonts w:ascii="Courier New" w:cs="Courier New" w:eastAsia="Courier New" w:hAnsi="Courier New"/>
          <w:sz w:val="16"/>
          <w:szCs w:val="16"/>
          <w:color w:val="auto"/>
        </w:rPr>
      </w:pPr>
    </w:p>
    <w:p>
      <w:pPr>
        <w:ind w:left="-554" w:right="2779" w:firstLine="554"/>
        <w:spacing w:after="0" w:line="235"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Amendment shall be binding upon and shall inure to the benefit of the parties hereto and their respective successors and assigns.</w:t>
      </w:r>
    </w:p>
    <w:p>
      <w:pPr>
        <w:spacing w:after="0" w:line="183" w:lineRule="exact"/>
        <w:rPr>
          <w:rFonts w:ascii="Courier New" w:cs="Courier New" w:eastAsia="Courier New" w:hAnsi="Courier New"/>
          <w:sz w:val="16"/>
          <w:szCs w:val="16"/>
          <w:color w:val="auto"/>
        </w:rPr>
      </w:pPr>
    </w:p>
    <w:p>
      <w:pPr>
        <w:ind w:left="-554" w:right="2779" w:firstLine="554"/>
        <w:spacing w:after="0" w:line="236"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Amendment may be executed in any number of counterparts, and by the different parties hereto on the same or separate counterparts, each of which shall be deemed to be an original instrument but all of which together shall constitute one and the same agreement. Delivery of an executed counterpart of a signature page by facsimile shall be effective as delivery of a manually executed counterpart of this Amendment.</w:t>
      </w:r>
    </w:p>
    <w:p>
      <w:pPr>
        <w:spacing w:after="0" w:line="182" w:lineRule="exact"/>
        <w:rPr>
          <w:rFonts w:ascii="Courier New" w:cs="Courier New" w:eastAsia="Courier New" w:hAnsi="Courier New"/>
          <w:sz w:val="16"/>
          <w:szCs w:val="16"/>
          <w:color w:val="auto"/>
        </w:rPr>
      </w:pPr>
    </w:p>
    <w:p>
      <w:pPr>
        <w:ind w:left="-554" w:right="2779" w:firstLine="554"/>
        <w:spacing w:after="0" w:line="235"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descriptive headings of the various sections of this Amendment are inserted for convenience of reference only and shall not be deemed to affect the meaning or construction of any of the provisions hereof.</w:t>
      </w:r>
    </w:p>
    <w:p>
      <w:pPr>
        <w:spacing w:after="0" w:line="183" w:lineRule="exact"/>
        <w:rPr>
          <w:rFonts w:ascii="Courier New" w:cs="Courier New" w:eastAsia="Courier New" w:hAnsi="Courier New"/>
          <w:sz w:val="16"/>
          <w:szCs w:val="16"/>
          <w:color w:val="auto"/>
        </w:rPr>
      </w:pPr>
    </w:p>
    <w:p>
      <w:pPr>
        <w:ind w:left="-554" w:right="3059" w:firstLine="554"/>
        <w:spacing w:after="0" w:line="234"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This Amendment may not be amended or otherwise modified except as provided in the Transaction Documents.</w:t>
      </w:r>
    </w:p>
    <w:p>
      <w:pPr>
        <w:spacing w:after="0" w:line="183" w:lineRule="exact"/>
        <w:rPr>
          <w:rFonts w:ascii="Courier New" w:cs="Courier New" w:eastAsia="Courier New" w:hAnsi="Courier New"/>
          <w:sz w:val="16"/>
          <w:szCs w:val="16"/>
          <w:color w:val="auto"/>
        </w:rPr>
      </w:pPr>
    </w:p>
    <w:p>
      <w:pPr>
        <w:jc w:val="both"/>
        <w:ind w:left="-554" w:right="3059" w:firstLine="554"/>
        <w:spacing w:after="0" w:line="235" w:lineRule="auto"/>
        <w:tabs>
          <w:tab w:leader="none" w:pos="37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AMENDMENT (INCLUDING, BUT NOT LIMITED TO, THE VALLIDITY AND ENFORCEABILITY HEREOF) SHALL BE GOVERNED BY, AND CONSTRUED IN ACCORDANCE WITH,THE LAWS OF THE STATE OF NEW YORK, OTHER THAN THE CONFLICT OF LAW RULES THEREOF.</w:t>
      </w:r>
    </w:p>
    <w:p>
      <w:pPr>
        <w:spacing w:after="0" w:line="178" w:lineRule="exact"/>
        <w:rPr>
          <w:sz w:val="20"/>
          <w:szCs w:val="20"/>
          <w:color w:val="auto"/>
        </w:rPr>
      </w:pPr>
    </w:p>
    <w:p>
      <w:pPr>
        <w:ind w:left="3066"/>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666"/>
          </w:cols>
          <w:pgMar w:left="794" w:top="654" w:right="1440" w:bottom="1440" w:gutter="0" w:footer="0" w:header="0"/>
        </w:sectPr>
      </w:pPr>
    </w:p>
    <w:bookmarkStart w:id="119" w:name="page120"/>
    <w:bookmarkEnd w:id="119"/>
    <w:p>
      <w:pPr>
        <w:ind w:right="2879" w:firstLine="558"/>
        <w:spacing w:after="0" w:line="235" w:lineRule="auto"/>
        <w:rPr>
          <w:sz w:val="20"/>
          <w:szCs w:val="20"/>
          <w:color w:val="auto"/>
        </w:rPr>
      </w:pPr>
      <w:r>
        <w:rPr>
          <w:rFonts w:ascii="Courier New" w:cs="Courier New" w:eastAsia="Courier New" w:hAnsi="Courier New"/>
          <w:sz w:val="16"/>
          <w:szCs w:val="16"/>
          <w:color w:val="auto"/>
        </w:rPr>
        <w:t>IN WITNESS WHEREOF, the parties have caused this Amendment to be executed by their respective officers thereunto duty authorized, as of the date first above written.</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LPAC CORP.</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LENNOX INTERNATIONAL INC.</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LENNOX INDUSTRIES INC.</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ADVANCED DISTRIBUTOR PRODUCTS LLC</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6"/>
          <w:szCs w:val="16"/>
          <w:color w:val="auto"/>
        </w:rPr>
        <w:t>HEATCRAFT REFRIGERATION PRODUCTS LLC</w:t>
      </w:r>
    </w:p>
    <w:p>
      <w:pPr>
        <w:spacing w:after="0" w:line="18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[signatures continue]</w:t>
      </w:r>
    </w:p>
    <w:p>
      <w:pPr>
        <w:sectPr>
          <w:pgSz w:w="11900" w:h="16838" w:orient="portrait"/>
          <w:cols w:equalWidth="0" w:num="1">
            <w:col w:w="10219"/>
          </w:cols>
          <w:pgMar w:left="240" w:top="654" w:right="1440" w:bottom="1440" w:gutter="0" w:footer="0" w:header="0"/>
        </w:sectPr>
      </w:pPr>
    </w:p>
    <w:bookmarkStart w:id="120" w:name="page121"/>
    <w:bookmarkEnd w:id="120"/>
    <w:p>
      <w:pPr>
        <w:jc w:val="center"/>
        <w:ind w:right="79"/>
        <w:spacing w:after="0"/>
        <w:rPr>
          <w:sz w:val="20"/>
          <w:szCs w:val="20"/>
          <w:color w:val="auto"/>
        </w:rPr>
      </w:pPr>
      <w:r>
        <w:rPr>
          <w:rFonts w:ascii="Courier New" w:cs="Courier New" w:eastAsia="Courier New" w:hAnsi="Courier New"/>
          <w:sz w:val="14"/>
          <w:szCs w:val="14"/>
          <w:color w:val="auto"/>
        </w:rPr>
        <w:t>WACHOVIA BANK, NATIONAL ASSOCIATION,</w:t>
      </w:r>
    </w:p>
    <w:p>
      <w:pPr>
        <w:spacing w:after="0" w:line="199"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9"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BLUE RIDGE ASSET FUNDING CORPORATION,</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Wachovia Capital Markets, LLC,</w:t>
      </w:r>
    </w:p>
    <w:p>
      <w:pPr>
        <w:ind w:left="3160"/>
        <w:spacing w:after="0" w:line="236" w:lineRule="auto"/>
        <w:rPr>
          <w:sz w:val="20"/>
          <w:szCs w:val="20"/>
          <w:color w:val="auto"/>
        </w:rPr>
      </w:pPr>
      <w:r>
        <w:rPr>
          <w:rFonts w:ascii="Courier New" w:cs="Courier New" w:eastAsia="Courier New" w:hAnsi="Courier New"/>
          <w:sz w:val="16"/>
          <w:szCs w:val="16"/>
          <w:color w:val="auto"/>
        </w:rPr>
        <w:t>as Attorney-in-Fact</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[signatures continue]</w:t>
      </w:r>
    </w:p>
    <w:p>
      <w:pPr>
        <w:sectPr>
          <w:pgSz w:w="11900" w:h="16838" w:orient="portrait"/>
          <w:cols w:equalWidth="0" w:num="1">
            <w:col w:w="9019"/>
          </w:cols>
          <w:pgMar w:left="1440" w:top="654" w:right="1440" w:bottom="1440" w:gutter="0" w:footer="0" w:header="0"/>
        </w:sectPr>
      </w:pPr>
    </w:p>
    <w:bookmarkStart w:id="121" w:name="page122"/>
    <w:bookmarkEnd w:id="121"/>
    <w:p>
      <w:pPr>
        <w:ind w:left="2800"/>
        <w:spacing w:after="0"/>
        <w:rPr>
          <w:sz w:val="20"/>
          <w:szCs w:val="20"/>
          <w:color w:val="auto"/>
        </w:rPr>
      </w:pPr>
      <w:r>
        <w:rPr>
          <w:rFonts w:ascii="Courier New" w:cs="Courier New" w:eastAsia="Courier New" w:hAnsi="Courier New"/>
          <w:sz w:val="16"/>
          <w:szCs w:val="16"/>
          <w:color w:val="auto"/>
        </w:rPr>
        <w:t>LIBERTY STREET FUNDING CORP.,</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THE BANK OF NOVA SCOTIA,</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[signatures continue]</w:t>
      </w:r>
    </w:p>
    <w:p>
      <w:pPr>
        <w:sectPr>
          <w:pgSz w:w="11900" w:h="16838" w:orient="portrait"/>
          <w:cols w:equalWidth="0" w:num="1">
            <w:col w:w="9019"/>
          </w:cols>
          <w:pgMar w:left="1440" w:top="648" w:right="1440" w:bottom="1440" w:gutter="0" w:footer="0" w:header="0"/>
        </w:sectPr>
      </w:pPr>
    </w:p>
    <w:bookmarkStart w:id="122" w:name="page123"/>
    <w:bookmarkEnd w:id="122"/>
    <w:p>
      <w:pPr>
        <w:ind w:left="2800"/>
        <w:spacing w:after="0"/>
        <w:rPr>
          <w:sz w:val="20"/>
          <w:szCs w:val="20"/>
          <w:color w:val="auto"/>
        </w:rPr>
      </w:pPr>
      <w:r>
        <w:rPr>
          <w:rFonts w:ascii="Courier New" w:cs="Courier New" w:eastAsia="Courier New" w:hAnsi="Courier New"/>
          <w:sz w:val="16"/>
          <w:szCs w:val="16"/>
          <w:color w:val="auto"/>
        </w:rPr>
        <w:t>EAGLEFUNDING CAPITAL CORPORATION,</w:t>
      </w:r>
    </w:p>
    <w:p>
      <w:pPr>
        <w:ind w:left="3540"/>
        <w:spacing w:after="0" w:line="236" w:lineRule="auto"/>
        <w:rPr>
          <w:sz w:val="20"/>
          <w:szCs w:val="20"/>
          <w:color w:val="auto"/>
        </w:rPr>
      </w:pPr>
      <w:r>
        <w:rPr>
          <w:rFonts w:ascii="Courier New" w:cs="Courier New" w:eastAsia="Courier New" w:hAnsi="Courier New"/>
          <w:sz w:val="16"/>
          <w:szCs w:val="16"/>
          <w:color w:val="auto"/>
        </w:rPr>
        <w:t>By: Fleet Securities, Inc.,</w:t>
      </w:r>
    </w:p>
    <w:p>
      <w:pPr>
        <w:ind w:left="3920"/>
        <w:spacing w:after="0" w:line="237" w:lineRule="auto"/>
        <w:rPr>
          <w:sz w:val="20"/>
          <w:szCs w:val="20"/>
          <w:color w:val="auto"/>
        </w:rPr>
      </w:pPr>
      <w:r>
        <w:rPr>
          <w:rFonts w:ascii="Courier New" w:cs="Courier New" w:eastAsia="Courier New" w:hAnsi="Courier New"/>
          <w:sz w:val="16"/>
          <w:szCs w:val="16"/>
          <w:color w:val="auto"/>
        </w:rPr>
        <w:t>as attorney-in-fact</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FLEET NATIONAL BANK,</w:t>
      </w:r>
    </w:p>
    <w:p>
      <w:pPr>
        <w:ind w:left="3540"/>
        <w:spacing w:after="0" w:line="236" w:lineRule="auto"/>
        <w:rPr>
          <w:sz w:val="20"/>
          <w:szCs w:val="20"/>
          <w:color w:val="auto"/>
        </w:rPr>
      </w:pPr>
      <w:r>
        <w:rPr>
          <w:rFonts w:ascii="Courier New" w:cs="Courier New" w:eastAsia="Courier New" w:hAnsi="Courier New"/>
          <w:sz w:val="16"/>
          <w:szCs w:val="16"/>
          <w:color w:val="auto"/>
        </w:rPr>
        <w:t>By: Fleet Securities, Inc.,</w:t>
      </w:r>
    </w:p>
    <w:p>
      <w:pPr>
        <w:ind w:left="3920"/>
        <w:spacing w:after="0" w:line="237" w:lineRule="auto"/>
        <w:rPr>
          <w:sz w:val="20"/>
          <w:szCs w:val="20"/>
          <w:color w:val="auto"/>
        </w:rPr>
      </w:pPr>
      <w:r>
        <w:rPr>
          <w:rFonts w:ascii="Courier New" w:cs="Courier New" w:eastAsia="Courier New" w:hAnsi="Courier New"/>
          <w:sz w:val="16"/>
          <w:szCs w:val="16"/>
          <w:color w:val="auto"/>
        </w:rPr>
        <w:t>as attorney-in-fact</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2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as agent for Fleet National Bank</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FLEET SECURITIES, INC.</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Name:_______________________________</w:t>
      </w:r>
    </w:p>
    <w:p>
      <w:pPr>
        <w:spacing w:after="0" w:line="20"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[end of signatures]</w:t>
      </w:r>
    </w:p>
    <w:p>
      <w:pPr>
        <w:sectPr>
          <w:pgSz w:w="11900" w:h="16838" w:orient="portrait"/>
          <w:cols w:equalWidth="0" w:num="1">
            <w:col w:w="9019"/>
          </w:cols>
          <w:pgMar w:left="1440" w:top="648"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15"/>
                <w:szCs w:val="15"/>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SCHEDULE 14.2</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292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6"/>
                <w:szCs w:val="16"/>
                <w:color w:val="auto"/>
                <w:w w:val="95"/>
              </w:rPr>
              <w:t>NOTICE ADDRESSES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Seller:</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LPAC Corp.</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Mail:</w:t>
            </w:r>
          </w:p>
        </w:tc>
        <w:tc>
          <w:tcPr>
            <w:tcW w:w="192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w w:val="96"/>
              </w:rPr>
              <w:t>P. O. Box 799900</w:t>
            </w:r>
          </w:p>
        </w:tc>
        <w:tc>
          <w:tcPr>
            <w:tcW w:w="1660" w:type="dxa"/>
            <w:vAlign w:val="bottom"/>
          </w:tcPr>
          <w:p>
            <w:pPr>
              <w:spacing w:after="0"/>
              <w:rPr>
                <w:sz w:val="15"/>
                <w:szCs w:val="15"/>
                <w:color w:val="auto"/>
              </w:rPr>
            </w:pPr>
          </w:p>
        </w:tc>
      </w:tr>
      <w:tr>
        <w:trPr>
          <w:trHeight w:val="179"/>
        </w:trPr>
        <w:tc>
          <w:tcPr>
            <w:tcW w:w="2920" w:type="dxa"/>
            <w:vAlign w:val="bottom"/>
          </w:tcPr>
          <w:p>
            <w:pPr>
              <w:spacing w:after="0"/>
              <w:rPr>
                <w:sz w:val="15"/>
                <w:szCs w:val="15"/>
                <w:color w:val="auto"/>
              </w:rPr>
            </w:pP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Dallas, TX</w:t>
            </w:r>
          </w:p>
        </w:tc>
        <w:tc>
          <w:tcPr>
            <w:tcW w:w="2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75379-9900</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Physical Address:</w:t>
            </w: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rPr>
              <w:t>2140 Lake Park Blvd.</w:t>
            </w:r>
          </w:p>
        </w:tc>
      </w:tr>
      <w:tr>
        <w:trPr>
          <w:trHeight w:val="179"/>
        </w:trPr>
        <w:tc>
          <w:tcPr>
            <w:tcW w:w="2920" w:type="dxa"/>
            <w:vAlign w:val="bottom"/>
          </w:tcPr>
          <w:p>
            <w:pPr>
              <w:spacing w:after="0"/>
              <w:rPr>
                <w:sz w:val="15"/>
                <w:szCs w:val="15"/>
                <w:color w:val="auto"/>
              </w:rPr>
            </w:pPr>
          </w:p>
        </w:tc>
        <w:tc>
          <w:tcPr>
            <w:tcW w:w="192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Richardson, TX</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3"/>
              </w:rPr>
              <w:t>75080-2254</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Attention:</w:t>
            </w: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w w:val="96"/>
              </w:rPr>
              <w:t>Gregg Moseman, Assistant Treasurer</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Phone No.:</w:t>
            </w: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5"/>
              </w:rPr>
              <w:t>972-497-6935</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Facsimile No.:</w:t>
            </w: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5"/>
              </w:rPr>
              <w:t>972-497-6940</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Servicer:</w:t>
            </w: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7"/>
              </w:rPr>
              <w:t>Lennox Industries Inc.</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Mail:</w:t>
            </w:r>
          </w:p>
        </w:tc>
        <w:tc>
          <w:tcPr>
            <w:tcW w:w="192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w w:val="96"/>
              </w:rPr>
              <w:t>P. O. Box 799900</w:t>
            </w:r>
          </w:p>
        </w:tc>
        <w:tc>
          <w:tcPr>
            <w:tcW w:w="1660" w:type="dxa"/>
            <w:vAlign w:val="bottom"/>
          </w:tcPr>
          <w:p>
            <w:pPr>
              <w:spacing w:after="0"/>
              <w:rPr>
                <w:sz w:val="15"/>
                <w:szCs w:val="15"/>
                <w:color w:val="auto"/>
              </w:rPr>
            </w:pPr>
          </w:p>
        </w:tc>
      </w:tr>
      <w:tr>
        <w:trPr>
          <w:trHeight w:val="179"/>
        </w:trPr>
        <w:tc>
          <w:tcPr>
            <w:tcW w:w="2920" w:type="dxa"/>
            <w:vAlign w:val="bottom"/>
          </w:tcPr>
          <w:p>
            <w:pPr>
              <w:spacing w:after="0"/>
              <w:rPr>
                <w:sz w:val="15"/>
                <w:szCs w:val="15"/>
                <w:color w:val="auto"/>
              </w:rPr>
            </w:pP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Dallas, TX</w:t>
            </w:r>
          </w:p>
        </w:tc>
        <w:tc>
          <w:tcPr>
            <w:tcW w:w="2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75379-9900</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Physical Address:</w:t>
            </w: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rPr>
              <w:t>2100 Lake Park Blvd.</w:t>
            </w:r>
          </w:p>
        </w:tc>
      </w:tr>
      <w:tr>
        <w:trPr>
          <w:trHeight w:val="179"/>
        </w:trPr>
        <w:tc>
          <w:tcPr>
            <w:tcW w:w="2920" w:type="dxa"/>
            <w:vAlign w:val="bottom"/>
          </w:tcPr>
          <w:p>
            <w:pPr>
              <w:spacing w:after="0"/>
              <w:rPr>
                <w:sz w:val="15"/>
                <w:szCs w:val="15"/>
                <w:color w:val="auto"/>
              </w:rPr>
            </w:pPr>
          </w:p>
        </w:tc>
        <w:tc>
          <w:tcPr>
            <w:tcW w:w="192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Richardson, TX</w:t>
            </w:r>
          </w:p>
        </w:tc>
        <w:tc>
          <w:tcPr>
            <w:tcW w:w="16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3"/>
              </w:rPr>
              <w:t>75080-2254</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Attention:</w:t>
            </w: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rPr>
              <w:t>Michael E. Kinney, Controller,</w:t>
            </w:r>
          </w:p>
        </w:tc>
      </w:tr>
      <w:tr>
        <w:trPr>
          <w:trHeight w:val="179"/>
        </w:trPr>
        <w:tc>
          <w:tcPr>
            <w:tcW w:w="2920" w:type="dxa"/>
            <w:vAlign w:val="bottom"/>
          </w:tcPr>
          <w:p>
            <w:pPr>
              <w:spacing w:after="0"/>
              <w:rPr>
                <w:sz w:val="15"/>
                <w:szCs w:val="15"/>
                <w:color w:val="auto"/>
              </w:rPr>
            </w:pP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rPr>
              <w:t>North American Sales</w:t>
            </w: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Phone No.:</w:t>
            </w: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5"/>
              </w:rPr>
              <w:t>972-497-5363</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Facsimile No.:</w:t>
            </w: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5"/>
              </w:rPr>
              <w:t>972-497-5254</w:t>
            </w: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9"/>
        </w:trPr>
        <w:tc>
          <w:tcPr>
            <w:tcW w:w="2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Physical Address:</w:t>
            </w:r>
          </w:p>
        </w:tc>
        <w:tc>
          <w:tcPr>
            <w:tcW w:w="3580" w:type="dxa"/>
            <w:vAlign w:val="bottom"/>
            <w:gridSpan w:val="3"/>
          </w:tcPr>
          <w:p>
            <w:pPr>
              <w:ind w:left="420"/>
              <w:spacing w:after="0" w:line="179" w:lineRule="exact"/>
              <w:rPr>
                <w:sz w:val="20"/>
                <w:szCs w:val="20"/>
                <w:color w:val="auto"/>
              </w:rPr>
            </w:pPr>
            <w:r>
              <w:rPr>
                <w:rFonts w:ascii="Courier New" w:cs="Courier New" w:eastAsia="Courier New" w:hAnsi="Courier New"/>
                <w:sz w:val="16"/>
                <w:szCs w:val="16"/>
                <w:color w:val="auto"/>
              </w:rPr>
              <w:t>400 Norris Glen Road</w:t>
            </w:r>
          </w:p>
        </w:tc>
      </w:tr>
      <w:tr>
        <w:trPr>
          <w:trHeight w:val="179"/>
        </w:trPr>
        <w:tc>
          <w:tcPr>
            <w:tcW w:w="2920" w:type="dxa"/>
            <w:vAlign w:val="bottom"/>
          </w:tcPr>
          <w:p>
            <w:pPr>
              <w:spacing w:after="0"/>
              <w:rPr>
                <w:sz w:val="15"/>
                <w:szCs w:val="15"/>
                <w:color w:val="auto"/>
              </w:rPr>
            </w:pPr>
          </w:p>
        </w:tc>
        <w:tc>
          <w:tcPr>
            <w:tcW w:w="15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Etobicoke,</w:t>
            </w:r>
          </w:p>
        </w:tc>
        <w:tc>
          <w:tcPr>
            <w:tcW w:w="20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ON, Canada  M9C 1H5</w:t>
            </w:r>
          </w:p>
        </w:tc>
      </w:tr>
    </w:tbl>
    <w:p>
      <w:pPr>
        <w:sectPr>
          <w:pgSz w:w="11900" w:h="16838" w:orient="portrait"/>
          <w:cols w:equalWidth="0" w:num="1">
            <w:col w:w="10219"/>
          </w:cols>
          <w:pgMar w:left="240" w:top="648"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Copies to:</w:t>
      </w:r>
    </w:p>
    <w:p>
      <w:pPr>
        <w:ind w:left="840"/>
        <w:spacing w:after="0" w:line="236" w:lineRule="auto"/>
        <w:rPr>
          <w:sz w:val="20"/>
          <w:szCs w:val="20"/>
          <w:color w:val="auto"/>
        </w:rPr>
      </w:pPr>
      <w:r>
        <w:rPr>
          <w:rFonts w:ascii="Courier New" w:cs="Courier New" w:eastAsia="Courier New" w:hAnsi="Courier New"/>
          <w:sz w:val="16"/>
          <w:szCs w:val="16"/>
          <w:color w:val="auto"/>
        </w:rPr>
        <w:t>Kenneth C. Fernandez, Assistant General Counsel</w:t>
      </w:r>
    </w:p>
    <w:tbl>
      <w:tblPr>
        <w:tblLayout w:type="fixed"/>
        <w:tblInd w:w="840" w:type="dxa"/>
        <w:tblCellMar>
          <w:top w:w="0" w:type="dxa"/>
          <w:left w:w="0" w:type="dxa"/>
          <w:bottom w:w="0" w:type="dxa"/>
          <w:right w:w="0" w:type="dxa"/>
        </w:tblCellMar>
      </w:tblPr>
      <w:tr>
        <w:trPr>
          <w:trHeight w:val="180"/>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Lennox International Inc.</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Mail:</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 O. Box</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799900</w:t>
            </w:r>
          </w:p>
        </w:tc>
        <w:tc>
          <w:tcPr>
            <w:tcW w:w="92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Dallas, TX</w:t>
            </w:r>
          </w:p>
        </w:tc>
        <w:tc>
          <w:tcPr>
            <w:tcW w:w="1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75379-9900</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Physical Address:</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2140 Lake</w:t>
            </w:r>
          </w:p>
        </w:tc>
        <w:tc>
          <w:tcPr>
            <w:tcW w:w="1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Park Blvd.</w:t>
            </w:r>
          </w:p>
        </w:tc>
      </w:tr>
      <w:tr>
        <w:trPr>
          <w:trHeight w:val="179"/>
        </w:trPr>
        <w:tc>
          <w:tcPr>
            <w:tcW w:w="2420" w:type="dxa"/>
            <w:vAlign w:val="bottom"/>
          </w:tcPr>
          <w:p>
            <w:pPr>
              <w:spacing w:after="0"/>
              <w:rPr>
                <w:sz w:val="15"/>
                <w:szCs w:val="15"/>
                <w:color w:val="auto"/>
              </w:rPr>
            </w:pPr>
          </w:p>
        </w:tc>
        <w:tc>
          <w:tcPr>
            <w:tcW w:w="15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Richardson, TX</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75080-2254</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Facsimile No.:</w:t>
            </w:r>
          </w:p>
        </w:tc>
        <w:tc>
          <w:tcPr>
            <w:tcW w:w="15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972-497-5268</w:t>
            </w:r>
          </w:p>
        </w:tc>
        <w:tc>
          <w:tcPr>
            <w:tcW w:w="920" w:type="dxa"/>
            <w:vAlign w:val="bottom"/>
          </w:tcPr>
          <w:p>
            <w:pPr>
              <w:spacing w:after="0"/>
              <w:rPr>
                <w:sz w:val="15"/>
                <w:szCs w:val="15"/>
                <w:color w:val="auto"/>
              </w:rPr>
            </w:pPr>
          </w:p>
        </w:tc>
      </w:tr>
      <w:tr>
        <w:trPr>
          <w:trHeight w:val="358"/>
        </w:trPr>
        <w:tc>
          <w:tcPr>
            <w:tcW w:w="3440" w:type="dxa"/>
            <w:vAlign w:val="bottom"/>
            <w:gridSpan w:val="2"/>
          </w:tcPr>
          <w:p>
            <w:pPr>
              <w:spacing w:after="0"/>
              <w:rPr>
                <w:sz w:val="20"/>
                <w:szCs w:val="20"/>
                <w:color w:val="auto"/>
              </w:rPr>
            </w:pPr>
            <w:r>
              <w:rPr>
                <w:rFonts w:ascii="Courier New" w:cs="Courier New" w:eastAsia="Courier New" w:hAnsi="Courier New"/>
                <w:sz w:val="16"/>
                <w:szCs w:val="16"/>
                <w:color w:val="auto"/>
                <w:w w:val="98"/>
              </w:rPr>
              <w:t>Gregory Moseman, Assistant Treasurer</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Lennox International Inc.</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Mail:</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 O. Box</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799900</w:t>
            </w:r>
          </w:p>
        </w:tc>
        <w:tc>
          <w:tcPr>
            <w:tcW w:w="920" w:type="dxa"/>
            <w:vAlign w:val="bottom"/>
          </w:tcPr>
          <w:p>
            <w:pPr>
              <w:spacing w:after="0"/>
              <w:rPr>
                <w:sz w:val="15"/>
                <w:szCs w:val="15"/>
                <w:color w:val="auto"/>
              </w:rPr>
            </w:pPr>
          </w:p>
        </w:tc>
      </w:tr>
      <w:tr>
        <w:trPr>
          <w:trHeight w:val="179"/>
        </w:trPr>
        <w:tc>
          <w:tcPr>
            <w:tcW w:w="2420" w:type="dxa"/>
            <w:vAlign w:val="bottom"/>
          </w:tcPr>
          <w:p>
            <w:pPr>
              <w:spacing w:after="0"/>
              <w:rPr>
                <w:sz w:val="15"/>
                <w:szCs w:val="15"/>
                <w:color w:val="auto"/>
              </w:rPr>
            </w:pP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Dallas, TX</w:t>
            </w:r>
          </w:p>
        </w:tc>
        <w:tc>
          <w:tcPr>
            <w:tcW w:w="1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75379-9900</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Physical Address:</w:t>
            </w:r>
          </w:p>
        </w:tc>
        <w:tc>
          <w:tcPr>
            <w:tcW w:w="1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2140 Lake</w:t>
            </w:r>
          </w:p>
        </w:tc>
        <w:tc>
          <w:tcPr>
            <w:tcW w:w="14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Park Blvd.</w:t>
            </w:r>
          </w:p>
        </w:tc>
      </w:tr>
      <w:tr>
        <w:trPr>
          <w:trHeight w:val="179"/>
        </w:trPr>
        <w:tc>
          <w:tcPr>
            <w:tcW w:w="2420" w:type="dxa"/>
            <w:vAlign w:val="bottom"/>
          </w:tcPr>
          <w:p>
            <w:pPr>
              <w:spacing w:after="0"/>
              <w:rPr>
                <w:sz w:val="15"/>
                <w:szCs w:val="15"/>
                <w:color w:val="auto"/>
              </w:rPr>
            </w:pPr>
          </w:p>
        </w:tc>
        <w:tc>
          <w:tcPr>
            <w:tcW w:w="15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Richardson, TX</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75080-2254</w:t>
            </w:r>
          </w:p>
        </w:tc>
      </w:tr>
      <w:tr>
        <w:trPr>
          <w:trHeight w:val="179"/>
        </w:trPr>
        <w:tc>
          <w:tcPr>
            <w:tcW w:w="2420" w:type="dxa"/>
            <w:vAlign w:val="bottom"/>
          </w:tcPr>
          <w:p>
            <w:pPr>
              <w:spacing w:after="0" w:line="179" w:lineRule="exact"/>
              <w:rPr>
                <w:sz w:val="20"/>
                <w:szCs w:val="20"/>
                <w:color w:val="auto"/>
              </w:rPr>
            </w:pPr>
            <w:r>
              <w:rPr>
                <w:rFonts w:ascii="Courier New" w:cs="Courier New" w:eastAsia="Courier New" w:hAnsi="Courier New"/>
                <w:sz w:val="16"/>
                <w:szCs w:val="16"/>
                <w:color w:val="auto"/>
              </w:rPr>
              <w:t>Facsimile No.:</w:t>
            </w:r>
          </w:p>
        </w:tc>
        <w:tc>
          <w:tcPr>
            <w:tcW w:w="158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972-497-6940</w:t>
            </w:r>
          </w:p>
        </w:tc>
        <w:tc>
          <w:tcPr>
            <w:tcW w:w="92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Street Funding Corp.: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Liberty Street Funding Corp.</w:t>
      </w:r>
    </w:p>
    <w:p>
      <w:pPr>
        <w:spacing w:after="0" w:line="236" w:lineRule="auto"/>
        <w:rPr>
          <w:sz w:val="20"/>
          <w:szCs w:val="20"/>
          <w:color w:val="auto"/>
        </w:rPr>
      </w:pPr>
      <w:r>
        <w:rPr>
          <w:rFonts w:ascii="Courier New" w:cs="Courier New" w:eastAsia="Courier New" w:hAnsi="Courier New"/>
          <w:sz w:val="16"/>
          <w:szCs w:val="16"/>
          <w:color w:val="auto"/>
        </w:rPr>
        <w:t>114 West 47th Street, Suite 175</w:t>
      </w:r>
    </w:p>
    <w:p>
      <w:pPr>
        <w:spacing w:after="0" w:line="237" w:lineRule="auto"/>
        <w:rPr>
          <w:sz w:val="20"/>
          <w:szCs w:val="20"/>
          <w:color w:val="auto"/>
        </w:rPr>
      </w:pPr>
      <w:r>
        <w:rPr>
          <w:rFonts w:ascii="Courier New" w:cs="Courier New" w:eastAsia="Courier New" w:hAnsi="Courier New"/>
          <w:sz w:val="16"/>
          <w:szCs w:val="16"/>
          <w:color w:val="auto"/>
        </w:rPr>
        <w:t>New York, NY 10036</w:t>
      </w:r>
    </w:p>
    <w:p>
      <w:pPr>
        <w:spacing w:after="0"/>
        <w:tabs>
          <w:tab w:leader="none" w:pos="110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4"/>
          <w:szCs w:val="14"/>
          <w:color w:val="auto"/>
        </w:rPr>
        <w:t>Andrew L. Stidd</w:t>
      </w:r>
    </w:p>
    <w:p>
      <w:pPr>
        <w:spacing w:after="0" w:line="237" w:lineRule="auto"/>
        <w:rPr>
          <w:sz w:val="20"/>
          <w:szCs w:val="20"/>
          <w:color w:val="auto"/>
        </w:rPr>
      </w:pPr>
      <w:r>
        <w:rPr>
          <w:rFonts w:ascii="Courier New" w:cs="Courier New" w:eastAsia="Courier New" w:hAnsi="Courier New"/>
          <w:sz w:val="16"/>
          <w:szCs w:val="16"/>
          <w:color w:val="auto"/>
        </w:rPr>
        <w:t>Telephone: (212) 302-5151</w:t>
      </w:r>
    </w:p>
    <w:p>
      <w:pPr>
        <w:spacing w:after="0" w:line="237" w:lineRule="auto"/>
        <w:rPr>
          <w:sz w:val="20"/>
          <w:szCs w:val="20"/>
          <w:color w:val="auto"/>
        </w:rPr>
      </w:pPr>
      <w:r>
        <w:rPr>
          <w:rFonts w:ascii="Courier New" w:cs="Courier New" w:eastAsia="Courier New" w:hAnsi="Courier New"/>
          <w:sz w:val="16"/>
          <w:szCs w:val="16"/>
          <w:color w:val="auto"/>
        </w:rPr>
        <w:t>Facsimile: (212) 302-8767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Nova Scotia</w:t>
      </w:r>
    </w:p>
    <w:p>
      <w:pPr>
        <w:spacing w:after="0" w:line="236" w:lineRule="auto"/>
        <w:rPr>
          <w:sz w:val="20"/>
          <w:szCs w:val="20"/>
          <w:color w:val="auto"/>
        </w:rPr>
      </w:pPr>
      <w:r>
        <w:rPr>
          <w:rFonts w:ascii="Courier New" w:cs="Courier New" w:eastAsia="Courier New" w:hAnsi="Courier New"/>
          <w:sz w:val="16"/>
          <w:szCs w:val="16"/>
          <w:color w:val="auto"/>
        </w:rPr>
        <w:t>One Liberty Plaza</w:t>
      </w:r>
    </w:p>
    <w:p>
      <w:pPr>
        <w:spacing w:after="0" w:line="237" w:lineRule="auto"/>
        <w:rPr>
          <w:sz w:val="20"/>
          <w:szCs w:val="20"/>
          <w:color w:val="auto"/>
        </w:rPr>
      </w:pPr>
      <w:r>
        <w:rPr>
          <w:rFonts w:ascii="Courier New" w:cs="Courier New" w:eastAsia="Courier New" w:hAnsi="Courier New"/>
          <w:sz w:val="16"/>
          <w:szCs w:val="16"/>
          <w:color w:val="auto"/>
        </w:rPr>
        <w:t>New York, NY 10006</w:t>
      </w:r>
    </w:p>
    <w:p>
      <w:pPr>
        <w:spacing w:after="0" w:line="237" w:lineRule="auto"/>
        <w:rPr>
          <w:sz w:val="20"/>
          <w:szCs w:val="20"/>
          <w:color w:val="auto"/>
        </w:rPr>
      </w:pPr>
      <w:r>
        <w:rPr>
          <w:rFonts w:ascii="Courier New" w:cs="Courier New" w:eastAsia="Courier New" w:hAnsi="Courier New"/>
          <w:sz w:val="16"/>
          <w:szCs w:val="16"/>
          <w:color w:val="auto"/>
        </w:rPr>
        <w:t>Attention:</w:t>
      </w:r>
    </w:p>
    <w:p>
      <w:pPr>
        <w:spacing w:after="0" w:line="237" w:lineRule="auto"/>
        <w:rPr>
          <w:sz w:val="20"/>
          <w:szCs w:val="20"/>
          <w:color w:val="auto"/>
        </w:rPr>
      </w:pPr>
      <w:r>
        <w:rPr>
          <w:rFonts w:ascii="Courier New" w:cs="Courier New" w:eastAsia="Courier New" w:hAnsi="Courier New"/>
          <w:sz w:val="16"/>
          <w:szCs w:val="16"/>
          <w:color w:val="auto"/>
        </w:rPr>
        <w:t>Telephone: (212) 225-5000</w:t>
      </w:r>
    </w:p>
    <w:p>
      <w:pPr>
        <w:spacing w:after="0" w:line="237" w:lineRule="auto"/>
        <w:rPr>
          <w:sz w:val="20"/>
          <w:szCs w:val="20"/>
          <w:color w:val="auto"/>
        </w:rPr>
      </w:pPr>
      <w:r>
        <w:rPr>
          <w:rFonts w:ascii="Courier New" w:cs="Courier New" w:eastAsia="Courier New" w:hAnsi="Courier New"/>
          <w:sz w:val="16"/>
          <w:szCs w:val="16"/>
          <w:color w:val="auto"/>
        </w:rPr>
        <w:t>Facsimile: (212) 225-5090</w:t>
      </w:r>
    </w:p>
    <w:p>
      <w:pPr>
        <w:spacing w:after="0" w:line="183"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Administrative Agent, Liberty Street Purchaser Agent and Liberty Street Investor: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Nova Scotia</w:t>
      </w:r>
    </w:p>
    <w:p>
      <w:pPr>
        <w:spacing w:after="0" w:line="236" w:lineRule="auto"/>
        <w:rPr>
          <w:sz w:val="20"/>
          <w:szCs w:val="20"/>
          <w:color w:val="auto"/>
        </w:rPr>
      </w:pPr>
      <w:r>
        <w:rPr>
          <w:rFonts w:ascii="Courier New" w:cs="Courier New" w:eastAsia="Courier New" w:hAnsi="Courier New"/>
          <w:sz w:val="16"/>
          <w:szCs w:val="16"/>
          <w:color w:val="auto"/>
        </w:rPr>
        <w:t>One Liberty Plaza</w:t>
      </w:r>
    </w:p>
    <w:p>
      <w:pPr>
        <w:spacing w:after="0" w:line="237" w:lineRule="auto"/>
        <w:rPr>
          <w:sz w:val="20"/>
          <w:szCs w:val="20"/>
          <w:color w:val="auto"/>
        </w:rPr>
      </w:pPr>
      <w:r>
        <w:rPr>
          <w:rFonts w:ascii="Courier New" w:cs="Courier New" w:eastAsia="Courier New" w:hAnsi="Courier New"/>
          <w:sz w:val="16"/>
          <w:szCs w:val="16"/>
          <w:color w:val="auto"/>
        </w:rPr>
        <w:t>New York, NY 10006</w:t>
      </w:r>
    </w:p>
    <w:p>
      <w:pPr>
        <w:spacing w:after="0" w:line="237" w:lineRule="auto"/>
        <w:rPr>
          <w:sz w:val="20"/>
          <w:szCs w:val="20"/>
          <w:color w:val="auto"/>
        </w:rPr>
      </w:pPr>
      <w:r>
        <w:rPr>
          <w:rFonts w:ascii="Courier New" w:cs="Courier New" w:eastAsia="Courier New" w:hAnsi="Courier New"/>
          <w:sz w:val="16"/>
          <w:szCs w:val="16"/>
          <w:color w:val="auto"/>
        </w:rPr>
        <w:t>Attention:</w:t>
      </w:r>
    </w:p>
    <w:p>
      <w:pPr>
        <w:spacing w:after="0" w:line="237" w:lineRule="auto"/>
        <w:rPr>
          <w:sz w:val="20"/>
          <w:szCs w:val="20"/>
          <w:color w:val="auto"/>
        </w:rPr>
      </w:pPr>
      <w:r>
        <w:rPr>
          <w:rFonts w:ascii="Courier New" w:cs="Courier New" w:eastAsia="Courier New" w:hAnsi="Courier New"/>
          <w:sz w:val="16"/>
          <w:szCs w:val="16"/>
          <w:color w:val="auto"/>
        </w:rPr>
        <w:t>Telephone: (212) 225-5000</w:t>
      </w:r>
    </w:p>
    <w:p>
      <w:pPr>
        <w:spacing w:after="0" w:line="237" w:lineRule="auto"/>
        <w:rPr>
          <w:sz w:val="20"/>
          <w:szCs w:val="20"/>
          <w:color w:val="auto"/>
        </w:rPr>
      </w:pPr>
      <w:r>
        <w:rPr>
          <w:rFonts w:ascii="Courier New" w:cs="Courier New" w:eastAsia="Courier New" w:hAnsi="Courier New"/>
          <w:sz w:val="16"/>
          <w:szCs w:val="16"/>
          <w:color w:val="auto"/>
        </w:rPr>
        <w:t>Facsimile: (212) 225-5090</w:t>
      </w:r>
    </w:p>
    <w:p>
      <w:pPr>
        <w:sectPr>
          <w:pgSz w:w="11900" w:h="16838" w:orient="portrait"/>
          <w:cols w:equalWidth="0" w:num="1">
            <w:col w:w="10219"/>
          </w:cols>
          <w:pgMar w:left="240" w:top="648"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EagleFunding: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EagleFunding Capital Corporation</w:t>
      </w:r>
    </w:p>
    <w:p>
      <w:pPr>
        <w:spacing w:after="0" w:line="236" w:lineRule="auto"/>
        <w:rPr>
          <w:sz w:val="20"/>
          <w:szCs w:val="20"/>
          <w:color w:val="auto"/>
        </w:rPr>
      </w:pPr>
      <w:r>
        <w:rPr>
          <w:rFonts w:ascii="Courier New" w:cs="Courier New" w:eastAsia="Courier New" w:hAnsi="Courier New"/>
          <w:sz w:val="16"/>
          <w:szCs w:val="16"/>
          <w:color w:val="auto"/>
        </w:rPr>
        <w:t>c/o Lord Securities Corporation</w:t>
      </w:r>
    </w:p>
    <w:p>
      <w:pPr>
        <w:spacing w:after="0" w:line="237" w:lineRule="auto"/>
        <w:rPr>
          <w:sz w:val="20"/>
          <w:szCs w:val="20"/>
          <w:color w:val="auto"/>
        </w:rPr>
      </w:pPr>
      <w:r>
        <w:rPr>
          <w:rFonts w:ascii="Courier New" w:cs="Courier New" w:eastAsia="Courier New" w:hAnsi="Courier New"/>
          <w:sz w:val="16"/>
          <w:szCs w:val="16"/>
          <w:color w:val="auto"/>
        </w:rPr>
        <w:t>48 Wall Street, 27th Floor</w:t>
      </w:r>
    </w:p>
    <w:p>
      <w:pPr>
        <w:spacing w:after="0" w:line="237" w:lineRule="auto"/>
        <w:rPr>
          <w:sz w:val="20"/>
          <w:szCs w:val="20"/>
          <w:color w:val="auto"/>
        </w:rPr>
      </w:pPr>
      <w:r>
        <w:rPr>
          <w:rFonts w:ascii="Courier New" w:cs="Courier New" w:eastAsia="Courier New" w:hAnsi="Courier New"/>
          <w:sz w:val="16"/>
          <w:szCs w:val="16"/>
          <w:color w:val="auto"/>
        </w:rPr>
        <w:t>New York, New York 10005</w:t>
      </w:r>
    </w:p>
    <w:p>
      <w:pPr>
        <w:spacing w:after="0" w:line="237" w:lineRule="auto"/>
        <w:rPr>
          <w:sz w:val="20"/>
          <w:szCs w:val="20"/>
          <w:color w:val="auto"/>
        </w:rPr>
      </w:pPr>
      <w:r>
        <w:rPr>
          <w:rFonts w:ascii="Courier New" w:cs="Courier New" w:eastAsia="Courier New" w:hAnsi="Courier New"/>
          <w:sz w:val="16"/>
          <w:szCs w:val="16"/>
          <w:color w:val="auto"/>
        </w:rPr>
        <w:t>Attention: Ben Abedine</w:t>
      </w:r>
    </w:p>
    <w:p>
      <w:pPr>
        <w:spacing w:after="0" w:line="237" w:lineRule="auto"/>
        <w:rPr>
          <w:sz w:val="20"/>
          <w:szCs w:val="20"/>
          <w:color w:val="auto"/>
        </w:rPr>
      </w:pPr>
      <w:r>
        <w:rPr>
          <w:rFonts w:ascii="Courier New" w:cs="Courier New" w:eastAsia="Courier New" w:hAnsi="Courier New"/>
          <w:sz w:val="16"/>
          <w:szCs w:val="16"/>
          <w:color w:val="auto"/>
        </w:rPr>
        <w:t>Telephone: (212) 346-9010</w:t>
      </w:r>
    </w:p>
    <w:p>
      <w:pPr>
        <w:spacing w:after="0" w:line="237" w:lineRule="auto"/>
        <w:rPr>
          <w:sz w:val="20"/>
          <w:szCs w:val="20"/>
          <w:color w:val="auto"/>
        </w:rPr>
      </w:pPr>
      <w:r>
        <w:rPr>
          <w:rFonts w:ascii="Courier New" w:cs="Courier New" w:eastAsia="Courier New" w:hAnsi="Courier New"/>
          <w:sz w:val="16"/>
          <w:szCs w:val="16"/>
          <w:color w:val="auto"/>
        </w:rPr>
        <w:t>Telecopy: (212) 346-9012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236" w:lineRule="auto"/>
        <w:rPr>
          <w:sz w:val="20"/>
          <w:szCs w:val="20"/>
          <w:color w:val="auto"/>
        </w:rPr>
      </w:pPr>
      <w:r>
        <w:rPr>
          <w:rFonts w:ascii="Courier New" w:cs="Courier New" w:eastAsia="Courier New" w:hAnsi="Courier New"/>
          <w:sz w:val="16"/>
          <w:szCs w:val="16"/>
          <w:color w:val="auto"/>
        </w:rPr>
        <w:t>100 Federal Street</w:t>
      </w:r>
    </w:p>
    <w:p>
      <w:pPr>
        <w:spacing w:after="0" w:line="237" w:lineRule="auto"/>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Asset Securitization Group - LPAC Corp.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(617) 434-5241</w:t>
      </w:r>
    </w:p>
    <w:p>
      <w:pPr>
        <w:spacing w:after="0" w:line="236" w:lineRule="auto"/>
        <w:tabs>
          <w:tab w:leader="none" w:pos="11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6"/>
          <w:szCs w:val="16"/>
          <w:color w:val="auto"/>
        </w:rPr>
        <w:t>(617) 434-5719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NATIONAL BANK</w:t>
      </w:r>
    </w:p>
    <w:p>
      <w:pPr>
        <w:spacing w:after="0" w:line="236" w:lineRule="auto"/>
        <w:rPr>
          <w:sz w:val="20"/>
          <w:szCs w:val="20"/>
          <w:color w:val="auto"/>
        </w:rPr>
      </w:pPr>
      <w:r>
        <w:rPr>
          <w:rFonts w:ascii="Courier New" w:cs="Courier New" w:eastAsia="Courier New" w:hAnsi="Courier New"/>
          <w:sz w:val="16"/>
          <w:szCs w:val="16"/>
          <w:color w:val="auto"/>
        </w:rPr>
        <w:t>100 Federal Street</w:t>
      </w:r>
    </w:p>
    <w:p>
      <w:pPr>
        <w:spacing w:after="0"/>
        <w:tabs>
          <w:tab w:leader="none" w:pos="2120" w:val="left"/>
        </w:tabs>
        <w:rPr>
          <w:sz w:val="20"/>
          <w:szCs w:val="20"/>
          <w:color w:val="auto"/>
        </w:rPr>
      </w:pPr>
      <w:r>
        <w:rPr>
          <w:rFonts w:ascii="Courier New" w:cs="Courier New" w:eastAsia="Courier New" w:hAnsi="Courier New"/>
          <w:sz w:val="16"/>
          <w:szCs w:val="16"/>
          <w:color w:val="auto"/>
        </w:rPr>
        <w:t>Boston, Massachusetts</w:t>
      </w:r>
      <w:r>
        <w:rPr>
          <w:sz w:val="20"/>
          <w:szCs w:val="20"/>
          <w:color w:val="auto"/>
        </w:rPr>
        <w:tab/>
      </w:r>
      <w:r>
        <w:rPr>
          <w:rFonts w:ascii="Courier New" w:cs="Courier New" w:eastAsia="Courier New" w:hAnsi="Courier New"/>
          <w:sz w:val="14"/>
          <w:szCs w:val="14"/>
          <w:color w:val="auto"/>
        </w:rPr>
        <w:t>02110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Asset Securitization Group - LPAC Corp.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(617) 434-5241</w:t>
      </w:r>
    </w:p>
    <w:p>
      <w:pPr>
        <w:spacing w:after="0" w:line="236" w:lineRule="auto"/>
        <w:tabs>
          <w:tab w:leader="none" w:pos="11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6"/>
          <w:szCs w:val="16"/>
          <w:color w:val="auto"/>
        </w:rPr>
        <w:t>(617) 434-5719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EagleFunding Purchaser Agent: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236" w:lineRule="auto"/>
        <w:rPr>
          <w:sz w:val="20"/>
          <w:szCs w:val="20"/>
          <w:color w:val="auto"/>
        </w:rPr>
      </w:pPr>
      <w:r>
        <w:rPr>
          <w:rFonts w:ascii="Courier New" w:cs="Courier New" w:eastAsia="Courier New" w:hAnsi="Courier New"/>
          <w:sz w:val="16"/>
          <w:szCs w:val="16"/>
          <w:color w:val="auto"/>
        </w:rPr>
        <w:t>100 Federal Street</w:t>
      </w:r>
    </w:p>
    <w:p>
      <w:pPr>
        <w:spacing w:after="0" w:line="237" w:lineRule="auto"/>
        <w:rPr>
          <w:sz w:val="20"/>
          <w:szCs w:val="20"/>
          <w:color w:val="auto"/>
        </w:rPr>
      </w:pPr>
      <w:r>
        <w:rPr>
          <w:rFonts w:ascii="Courier New" w:cs="Courier New" w:eastAsia="Courier New" w:hAnsi="Courier New"/>
          <w:sz w:val="16"/>
          <w:szCs w:val="16"/>
          <w:color w:val="auto"/>
        </w:rPr>
        <w:t>Boston, Massachusetts 02110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Asset Securitization Group - LPAC Corp.</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(617) 434-5241</w:t>
      </w:r>
    </w:p>
    <w:p>
      <w:pPr>
        <w:spacing w:after="0" w:line="236" w:lineRule="auto"/>
        <w:tabs>
          <w:tab w:leader="none" w:pos="1100" w:val="left"/>
        </w:tabs>
        <w:rPr>
          <w:sz w:val="20"/>
          <w:szCs w:val="20"/>
          <w:color w:val="auto"/>
        </w:rPr>
      </w:pPr>
      <w:r>
        <w:rPr>
          <w:rFonts w:ascii="Courier New" w:cs="Courier New" w:eastAsia="Courier New" w:hAnsi="Courier New"/>
          <w:sz w:val="16"/>
          <w:szCs w:val="16"/>
          <w:color w:val="auto"/>
        </w:rPr>
        <w:t>Telecopy:</w:t>
      </w:r>
      <w:r>
        <w:rPr>
          <w:sz w:val="20"/>
          <w:szCs w:val="20"/>
          <w:color w:val="auto"/>
        </w:rPr>
        <w:tab/>
      </w:r>
      <w:r>
        <w:rPr>
          <w:rFonts w:ascii="Courier New" w:cs="Courier New" w:eastAsia="Courier New" w:hAnsi="Courier New"/>
          <w:sz w:val="16"/>
          <w:szCs w:val="16"/>
          <w:color w:val="auto"/>
        </w:rPr>
        <w:t>(617) 434-5719</w:t>
      </w:r>
    </w:p>
    <w:p>
      <w:pPr>
        <w:sectPr>
          <w:pgSz w:w="11900" w:h="16838" w:orient="portrait"/>
          <w:cols w:equalWidth="0" w:num="1">
            <w:col w:w="10219"/>
          </w:cols>
          <w:pgMar w:left="240" w:top="648"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1"/>
        </w:trPr>
        <w:tc>
          <w:tcPr>
            <w:tcW w:w="5120" w:type="dxa"/>
            <w:vAlign w:val="bottom"/>
          </w:tcPr>
          <w:p>
            <w:pPr>
              <w:jc w:val="center"/>
              <w:ind w:left="2322"/>
              <w:spacing w:after="0"/>
              <w:rPr>
                <w:sz w:val="20"/>
                <w:szCs w:val="20"/>
                <w:color w:val="auto"/>
              </w:rPr>
            </w:pPr>
            <w:r>
              <w:rPr>
                <w:rFonts w:ascii="Courier New" w:cs="Courier New" w:eastAsia="Courier New" w:hAnsi="Courier New"/>
                <w:sz w:val="16"/>
                <w:szCs w:val="16"/>
                <w:color w:val="auto"/>
                <w:w w:val="95"/>
              </w:rPr>
              <w:t>ANNEX A</w:t>
            </w:r>
          </w:p>
        </w:tc>
        <w:tc>
          <w:tcPr>
            <w:tcW w:w="1020" w:type="dxa"/>
            <w:vAlign w:val="bottom"/>
          </w:tcPr>
          <w:p>
            <w:pPr>
              <w:spacing w:after="0"/>
              <w:rPr>
                <w:sz w:val="15"/>
                <w:szCs w:val="15"/>
                <w:color w:val="auto"/>
              </w:rPr>
            </w:pPr>
          </w:p>
        </w:tc>
      </w:tr>
      <w:tr>
        <w:trPr>
          <w:trHeight w:val="358"/>
        </w:trPr>
        <w:tc>
          <w:tcPr>
            <w:tcW w:w="5120" w:type="dxa"/>
            <w:vAlign w:val="bottom"/>
          </w:tcPr>
          <w:p>
            <w:pPr>
              <w:jc w:val="center"/>
              <w:ind w:left="2322"/>
              <w:spacing w:after="0"/>
              <w:rPr>
                <w:sz w:val="20"/>
                <w:szCs w:val="20"/>
                <w:color w:val="auto"/>
              </w:rPr>
            </w:pPr>
            <w:r>
              <w:rPr>
                <w:rFonts w:ascii="Courier New" w:cs="Courier New" w:eastAsia="Courier New" w:hAnsi="Courier New"/>
                <w:sz w:val="16"/>
                <w:szCs w:val="16"/>
                <w:color w:val="auto"/>
                <w:w w:val="97"/>
              </w:rPr>
              <w:t>BLUE RIDGE REPAYMENT AMOUNT</w:t>
            </w:r>
          </w:p>
        </w:tc>
        <w:tc>
          <w:tcPr>
            <w:tcW w:w="1020" w:type="dxa"/>
            <w:vAlign w:val="bottom"/>
          </w:tcPr>
          <w:p>
            <w:pPr>
              <w:spacing w:after="0"/>
              <w:rPr>
                <w:sz w:val="24"/>
                <w:szCs w:val="24"/>
                <w:color w:val="auto"/>
              </w:rPr>
            </w:pPr>
          </w:p>
        </w:tc>
      </w:tr>
      <w:tr>
        <w:trPr>
          <w:trHeight w:val="716"/>
        </w:trPr>
        <w:tc>
          <w:tcPr>
            <w:tcW w:w="5120" w:type="dxa"/>
            <w:vAlign w:val="bottom"/>
          </w:tcPr>
          <w:p>
            <w:pPr>
              <w:spacing w:after="0"/>
              <w:rPr>
                <w:sz w:val="20"/>
                <w:szCs w:val="20"/>
                <w:color w:val="auto"/>
              </w:rPr>
            </w:pPr>
            <w:r>
              <w:rPr>
                <w:rFonts w:ascii="Courier New" w:cs="Courier New" w:eastAsia="Courier New" w:hAnsi="Courier New"/>
                <w:sz w:val="16"/>
                <w:szCs w:val="16"/>
                <w:color w:val="auto"/>
              </w:rPr>
              <w:t>Total Discount , Principal and Used and Unused Fees: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$30,967.50</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Legal</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987.74</w:t>
            </w:r>
          </w:p>
        </w:tc>
      </w:tr>
      <w:tr>
        <w:trPr>
          <w:trHeight w:val="179"/>
        </w:trPr>
        <w:tc>
          <w:tcPr>
            <w:tcW w:w="51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$31,955.24</w:t>
            </w:r>
          </w:p>
        </w:tc>
      </w:tr>
      <w:tr>
        <w:trPr>
          <w:trHeight w:val="179"/>
        </w:trPr>
        <w:tc>
          <w:tcPr>
            <w:tcW w:w="512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48" w:right="1440" w:bottom="1440" w:gutter="0" w:footer="0" w:header="0"/>
        </w:sectPr>
      </w:pPr>
    </w:p>
    <w:bookmarkStart w:id="127" w:name="page128"/>
    <w:bookmarkEnd w:id="127"/>
    <w:p>
      <w:pPr>
        <w:jc w:val="right"/>
        <w:ind w:right="2779"/>
        <w:spacing w:after="0"/>
        <w:rPr>
          <w:sz w:val="20"/>
          <w:szCs w:val="20"/>
          <w:color w:val="auto"/>
        </w:rPr>
      </w:pPr>
      <w:r>
        <w:rPr>
          <w:rFonts w:ascii="Courier New" w:cs="Courier New" w:eastAsia="Courier New" w:hAnsi="Courier New"/>
          <w:sz w:val="16"/>
          <w:szCs w:val="16"/>
          <w:color w:val="auto"/>
        </w:rPr>
        <w:t>EXHIBIT 10.10</w:t>
      </w:r>
    </w:p>
    <w:p>
      <w:pPr>
        <w:spacing w:after="0" w:line="177" w:lineRule="exact"/>
        <w:rPr>
          <w:sz w:val="20"/>
          <w:szCs w:val="20"/>
          <w:color w:val="auto"/>
        </w:rPr>
      </w:pPr>
    </w:p>
    <w:p>
      <w:pPr>
        <w:ind w:left="2145"/>
        <w:spacing w:after="0"/>
        <w:rPr>
          <w:sz w:val="20"/>
          <w:szCs w:val="20"/>
          <w:color w:val="auto"/>
        </w:rPr>
      </w:pPr>
      <w:r>
        <w:rPr>
          <w:rFonts w:ascii="Courier New" w:cs="Courier New" w:eastAsia="Courier New" w:hAnsi="Courier New"/>
          <w:sz w:val="16"/>
          <w:szCs w:val="16"/>
          <w:color w:val="auto"/>
        </w:rPr>
        <w:t>ASSIGNMENT AND ASSUMPTION AGREEMENT</w:t>
      </w:r>
    </w:p>
    <w:p>
      <w:pPr>
        <w:spacing w:after="0" w:line="183" w:lineRule="exact"/>
        <w:rPr>
          <w:sz w:val="20"/>
          <w:szCs w:val="20"/>
          <w:color w:val="auto"/>
        </w:rPr>
      </w:pPr>
    </w:p>
    <w:p>
      <w:pPr>
        <w:ind w:left="5" w:right="2959" w:firstLine="1116"/>
        <w:spacing w:after="0" w:line="234" w:lineRule="auto"/>
        <w:rPr>
          <w:sz w:val="20"/>
          <w:szCs w:val="20"/>
          <w:color w:val="auto"/>
        </w:rPr>
      </w:pPr>
      <w:r>
        <w:rPr>
          <w:rFonts w:ascii="Courier New" w:cs="Courier New" w:eastAsia="Courier New" w:hAnsi="Courier New"/>
          <w:sz w:val="16"/>
          <w:szCs w:val="16"/>
          <w:color w:val="auto"/>
        </w:rPr>
        <w:t>THIS ASSIGNMENT AND ASSUMPTION AGREEMENT (the "Assignment"), dated as of May 5, 2004, by and among:</w:t>
      </w:r>
    </w:p>
    <w:p>
      <w:pPr>
        <w:spacing w:after="0" w:line="183" w:lineRule="exact"/>
        <w:rPr>
          <w:sz w:val="20"/>
          <w:szCs w:val="20"/>
          <w:color w:val="auto"/>
        </w:rPr>
      </w:pPr>
    </w:p>
    <w:p>
      <w:pPr>
        <w:ind w:left="5" w:right="2879" w:firstLine="1112"/>
        <w:spacing w:after="0" w:line="234" w:lineRule="auto"/>
        <w:tabs>
          <w:tab w:leader="none" w:pos="149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EagleFunding Capital Corporation ("Assigning Purchaser") and YC SUSI Trust, ("Purchasing Purchaser");</w:t>
      </w:r>
    </w:p>
    <w:p>
      <w:pPr>
        <w:spacing w:after="0" w:line="183" w:lineRule="exact"/>
        <w:rPr>
          <w:rFonts w:ascii="Courier New" w:cs="Courier New" w:eastAsia="Courier New" w:hAnsi="Courier New"/>
          <w:sz w:val="16"/>
          <w:szCs w:val="16"/>
          <w:color w:val="auto"/>
        </w:rPr>
      </w:pPr>
    </w:p>
    <w:p>
      <w:pPr>
        <w:ind w:left="5" w:right="2779" w:firstLine="1112"/>
        <w:spacing w:after="0" w:line="234" w:lineRule="auto"/>
        <w:tabs>
          <w:tab w:leader="none" w:pos="149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Fleet National Bank ("Assigning EagleFunding Investor") and Bank of America, N.A., ("Purchasing Investor");</w:t>
      </w:r>
    </w:p>
    <w:p>
      <w:pPr>
        <w:spacing w:after="0" w:line="183" w:lineRule="exact"/>
        <w:rPr>
          <w:rFonts w:ascii="Courier New" w:cs="Courier New" w:eastAsia="Courier New" w:hAnsi="Courier New"/>
          <w:sz w:val="16"/>
          <w:szCs w:val="16"/>
          <w:color w:val="auto"/>
        </w:rPr>
      </w:pPr>
    </w:p>
    <w:p>
      <w:pPr>
        <w:ind w:left="5" w:right="2879" w:firstLine="1112"/>
        <w:spacing w:after="0" w:line="235" w:lineRule="auto"/>
        <w:tabs>
          <w:tab w:leader="none" w:pos="149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Fleet Securities, Inc. ("Outgoing Purchaser Agent") and Bank of America, N.A. ("New Purchaser Agent" for the Purchaser Group of which YC SUSI Trust is a party); and</w:t>
      </w:r>
    </w:p>
    <w:p>
      <w:pPr>
        <w:spacing w:after="0" w:line="183" w:lineRule="exact"/>
        <w:rPr>
          <w:rFonts w:ascii="Courier New" w:cs="Courier New" w:eastAsia="Courier New" w:hAnsi="Courier New"/>
          <w:sz w:val="16"/>
          <w:szCs w:val="16"/>
          <w:color w:val="auto"/>
        </w:rPr>
      </w:pPr>
    </w:p>
    <w:p>
      <w:pPr>
        <w:ind w:left="5" w:right="3519" w:firstLine="1112"/>
        <w:spacing w:after="0" w:line="234" w:lineRule="auto"/>
        <w:tabs>
          <w:tab w:leader="none" w:pos="149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Nova Scotia, as administrative agent for the Purchasers (in such capacity, the "Administrative Agent");</w:t>
      </w:r>
    </w:p>
    <w:p>
      <w:pPr>
        <w:spacing w:after="0" w:line="183" w:lineRule="exact"/>
        <w:rPr>
          <w:rFonts w:ascii="Courier New" w:cs="Courier New" w:eastAsia="Courier New" w:hAnsi="Courier New"/>
          <w:sz w:val="16"/>
          <w:szCs w:val="16"/>
          <w:color w:val="auto"/>
        </w:rPr>
      </w:pPr>
    </w:p>
    <w:p>
      <w:pPr>
        <w:ind w:left="1485" w:hanging="368"/>
        <w:spacing w:after="0"/>
        <w:tabs>
          <w:tab w:leader="none" w:pos="148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LPAC CORP. (together with its successors and permitted assigns),</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as Seller.</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left="5" w:right="3159" w:firstLine="1116"/>
        <w:spacing w:after="0" w:line="235" w:lineRule="auto"/>
        <w:rPr>
          <w:sz w:val="20"/>
          <w:szCs w:val="20"/>
          <w:color w:val="auto"/>
        </w:rPr>
      </w:pPr>
      <w:r>
        <w:rPr>
          <w:rFonts w:ascii="Courier New" w:cs="Courier New" w:eastAsia="Courier New" w:hAnsi="Courier New"/>
          <w:sz w:val="16"/>
          <w:szCs w:val="16"/>
          <w:color w:val="auto"/>
        </w:rPr>
        <w:t>WHEREAS, LPAC CORP. ("Seller"), Lennox Industries, Inc. ("Master Servicer"), the Purchasers, the Investors, the Purchaser Agents and the Administrative Agent are parties to that certain Second Amended and Restated Receivables Purchase Agreement, dated as of June 16, 2003 (as so amended or modified, the "Purchase Agreement");</w:t>
      </w:r>
    </w:p>
    <w:p>
      <w:pPr>
        <w:spacing w:after="0" w:line="186" w:lineRule="exact"/>
        <w:rPr>
          <w:sz w:val="20"/>
          <w:szCs w:val="20"/>
          <w:color w:val="auto"/>
        </w:rPr>
      </w:pPr>
    </w:p>
    <w:p>
      <w:pPr>
        <w:ind w:left="5" w:right="2779" w:firstLine="1116"/>
        <w:spacing w:after="0" w:line="236" w:lineRule="auto"/>
        <w:rPr>
          <w:sz w:val="20"/>
          <w:szCs w:val="20"/>
          <w:color w:val="auto"/>
        </w:rPr>
      </w:pPr>
      <w:r>
        <w:rPr>
          <w:rFonts w:ascii="Courier New" w:cs="Courier New" w:eastAsia="Courier New" w:hAnsi="Courier New"/>
          <w:sz w:val="16"/>
          <w:szCs w:val="16"/>
          <w:color w:val="auto"/>
        </w:rPr>
        <w:t>WHEREAS, the parties hereto desire to create a new Purchaser Group with respect to which Purchasing Purchaser shall be the Purchaser, YC SUSI Trust Investor shall be the Investor and the New Purchaser Agent shall be the Purchaser Agent (together with the Purchasing Purchaser and the YC SUSI Trust Investor, the "New Purchaser Group"), upon the terms and conditions and as set forth herein;</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WHEREAS, in connection with the creation of the New Purchaser Group,</w:t>
      </w:r>
    </w:p>
    <w:p>
      <w:pPr>
        <w:spacing w:after="0" w:line="4" w:lineRule="exact"/>
        <w:rPr>
          <w:sz w:val="20"/>
          <w:szCs w:val="20"/>
          <w:color w:val="auto"/>
        </w:rPr>
      </w:pPr>
    </w:p>
    <w:p>
      <w:pPr>
        <w:ind w:left="5" w:right="2779" w:hanging="5"/>
        <w:spacing w:after="0" w:line="273" w:lineRule="auto"/>
        <w:tabs>
          <w:tab w:leader="none" w:pos="37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Assigning Purchaser wishes to assign to Purchasing Purchaser, a 100% interest in all of its right, title and interest and obligations as a Purchaser under the Agreement, including, without limitation, the portion of the Invested Amount funded by Assigning Purchaser as of the Effective Date (as defined below) (such interest, the "Conduit Assigned Interest"), (ii) Assigning EagleFunding Investor wishes to assign to Purchasing Investor, a 100% interest in all of its right, title and interest and obligations as an EagleFunding Investor under the Purchase Agreement, including, without limitation, its Commitment in the amount of $50,000,000 (such interest, the "Committed Assigned Interest"); and</w:t>
      </w:r>
    </w:p>
    <w:p>
      <w:pPr>
        <w:sectPr>
          <w:pgSz w:w="11900" w:h="16838" w:orient="portrait"/>
          <w:cols w:equalWidth="0" w:num="1">
            <w:col w:w="10224"/>
          </w:cols>
          <w:pgMar w:left="235" w:top="493" w:right="1440" w:bottom="1440" w:gutter="0" w:footer="0" w:header="0"/>
        </w:sectPr>
      </w:pPr>
    </w:p>
    <w:bookmarkStart w:id="128" w:name="page129"/>
    <w:bookmarkEnd w:id="128"/>
    <w:p>
      <w:pPr>
        <w:ind w:right="2779" w:firstLine="1116"/>
        <w:spacing w:after="0" w:line="235" w:lineRule="auto"/>
        <w:rPr>
          <w:sz w:val="20"/>
          <w:szCs w:val="20"/>
          <w:color w:val="auto"/>
        </w:rPr>
      </w:pPr>
      <w:r>
        <w:rPr>
          <w:rFonts w:ascii="Courier New" w:cs="Courier New" w:eastAsia="Courier New" w:hAnsi="Courier New"/>
          <w:sz w:val="16"/>
          <w:szCs w:val="16"/>
          <w:color w:val="auto"/>
        </w:rPr>
        <w:t>WHEREAS, Purchasing Purchaser wishes to purchase and assume the Conduit Assigned Interest and Purchasing Investor wishes to purchase and assume the Committed Assigned Interest, in each case, upon the terms and subject to the conditions herein contained;</w:t>
      </w:r>
    </w:p>
    <w:p>
      <w:pPr>
        <w:spacing w:after="0" w:line="185" w:lineRule="exact"/>
        <w:rPr>
          <w:sz w:val="20"/>
          <w:szCs w:val="20"/>
          <w:color w:val="auto"/>
        </w:rPr>
      </w:pPr>
    </w:p>
    <w:p>
      <w:pPr>
        <w:ind w:right="2779" w:firstLine="1116"/>
        <w:spacing w:after="0" w:line="235" w:lineRule="auto"/>
        <w:rPr>
          <w:sz w:val="20"/>
          <w:szCs w:val="20"/>
          <w:color w:val="auto"/>
        </w:rPr>
      </w:pPr>
      <w:r>
        <w:rPr>
          <w:rFonts w:ascii="Courier New" w:cs="Courier New" w:eastAsia="Courier New" w:hAnsi="Courier New"/>
          <w:sz w:val="16"/>
          <w:szCs w:val="16"/>
          <w:color w:val="auto"/>
        </w:rPr>
        <w:t>NOW, THEREFORE, in consideration of the premises and the mutual covenants hereinafter contained and for other good and valuable consideration, the receipt and sufficiency of which are hereby acknowledged, the parties hereto agree as follows:</w:t>
      </w:r>
    </w:p>
    <w:p>
      <w:pPr>
        <w:spacing w:after="0" w:line="185"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Section 1. Definitions; Preamble. All capitalized terms used herein (including the preamble hereto) but not specifically defined herein shall have the meanings ascribed to them in (or by reference in) the Purchasing Agreement. The parties hereto agree to the preamble set forth above and such preamble is incorporated herein in its entirety.</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 Assignment and Assumption.</w:t>
      </w:r>
    </w:p>
    <w:p>
      <w:pPr>
        <w:spacing w:after="0" w:line="183" w:lineRule="exact"/>
        <w:rPr>
          <w:sz w:val="20"/>
          <w:szCs w:val="20"/>
          <w:color w:val="auto"/>
        </w:rPr>
      </w:pPr>
    </w:p>
    <w:p>
      <w:pPr>
        <w:ind w:right="2779" w:firstLine="1112"/>
        <w:spacing w:after="0" w:line="235" w:lineRule="auto"/>
        <w:tabs>
          <w:tab w:leader="none" w:pos="148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Effective Date (as hereinafter defined), Assigning Purchaser hereby sells and assigns to Purchasing Purchaser, without recourse and without representation and warranty (except as set forth in Section 4 below), and Purchasing Purchaser hereby purchases and assumes from Assigning Purchaser, the Conduit Assigned Interest.</w:t>
      </w:r>
    </w:p>
    <w:p>
      <w:pPr>
        <w:spacing w:after="0" w:line="185" w:lineRule="exact"/>
        <w:rPr>
          <w:rFonts w:ascii="Courier New" w:cs="Courier New" w:eastAsia="Courier New" w:hAnsi="Courier New"/>
          <w:sz w:val="16"/>
          <w:szCs w:val="16"/>
          <w:color w:val="auto"/>
        </w:rPr>
      </w:pPr>
    </w:p>
    <w:p>
      <w:pPr>
        <w:ind w:right="2779" w:firstLine="1112"/>
        <w:spacing w:after="0" w:line="235" w:lineRule="auto"/>
        <w:tabs>
          <w:tab w:leader="none" w:pos="148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Effective Date (as hereinafter defined), Assigning EagleFunding Investor hereby sells and assigns to Purchasing Investor, without recourse and without representation and warranty (except as set forth in Section 4 below), and Purchasing Investor hereby purchases and assumes from Assigning EagleFunding Investor, the Committed Assigned Interest.</w:t>
      </w:r>
    </w:p>
    <w:p>
      <w:pPr>
        <w:spacing w:after="0" w:line="185" w:lineRule="exact"/>
        <w:rPr>
          <w:rFonts w:ascii="Courier New" w:cs="Courier New" w:eastAsia="Courier New" w:hAnsi="Courier New"/>
          <w:sz w:val="16"/>
          <w:szCs w:val="16"/>
          <w:color w:val="auto"/>
        </w:rPr>
      </w:pPr>
    </w:p>
    <w:p>
      <w:pPr>
        <w:ind w:right="3059" w:firstLine="1112"/>
        <w:spacing w:after="0" w:line="275" w:lineRule="auto"/>
        <w:tabs>
          <w:tab w:leader="none" w:pos="14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for the Conduit Assigned Interest and the Committed Assigned Interest shall be an amount equal to $26,032,984.34, being 100% of the portion of the aggregate Invested Amount funded by Assigning Purchaser as of the date hereof plus the interest/discount/yield accrued and unpaid on the date hereof, which purchase price shall be payable by the New Purchaser Group on the Effective Date (as hereinafter defined) to an account designated by Outgoing Purchaser Agent in its capacity as Purchaser Agent for the Purchasers in its related Purchaser Group.</w:t>
      </w:r>
    </w:p>
    <w:p>
      <w:pPr>
        <w:spacing w:after="0" w:line="337" w:lineRule="exact"/>
        <w:rPr>
          <w:rFonts w:ascii="Courier New" w:cs="Courier New" w:eastAsia="Courier New" w:hAnsi="Courier New"/>
          <w:sz w:val="14"/>
          <w:szCs w:val="14"/>
          <w:color w:val="auto"/>
        </w:rPr>
      </w:pPr>
    </w:p>
    <w:p>
      <w:pPr>
        <w:ind w:right="2779" w:firstLine="1112"/>
        <w:spacing w:after="0" w:line="279" w:lineRule="auto"/>
        <w:tabs>
          <w:tab w:leader="none" w:pos="14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Assigning Purchaser Agent agrees to remit to New Purchaser Agent any amounts received by Outgoing Purchaser Agent after the Effective Date (as hereinafter defined) that are payable to the New Purchaser Group under the terms of the Purchase Agreement as in effect on and after the Effective Date.</w:t>
      </w:r>
    </w:p>
    <w:p>
      <w:pPr>
        <w:spacing w:after="0" w:line="15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 Effective Date.</w:t>
      </w:r>
    </w:p>
    <w:p>
      <w:pPr>
        <w:spacing w:after="0" w:line="183" w:lineRule="exact"/>
        <w:rPr>
          <w:sz w:val="20"/>
          <w:szCs w:val="20"/>
          <w:color w:val="auto"/>
        </w:rPr>
      </w:pPr>
    </w:p>
    <w:p>
      <w:pPr>
        <w:ind w:right="2779" w:firstLine="1112"/>
        <w:spacing w:after="0" w:line="236" w:lineRule="auto"/>
        <w:tabs>
          <w:tab w:leader="none" w:pos="14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for this Assignment shall be the later of (i) the date on which the Administrative Agent, the Seller, Assigning Purchaser Agent and New Purchaser Agent receive this Assignment executed by the parties hereto and (ii) the date of this Assignment (the "Effective Date"). Following the execution of this Assignment and the consent of the Seller and the Administrative Agent, this Assignment will be delivered to the Administrative Agent for acceptance and recording.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129" w:name="page130"/>
    <w:bookmarkEnd w:id="129"/>
    <w:p>
      <w:pPr>
        <w:ind w:right="2779" w:firstLine="1112"/>
        <w:spacing w:after="0" w:line="273" w:lineRule="auto"/>
        <w:tabs>
          <w:tab w:leader="none" w:pos="14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Date, (i) each member of the New Purchaser Group shall be a party to the Agreements for all purposes thereof and, to the extent provided herein, have all of the rights, obligations and duties of a Purchaser, YC SUSI Trust Investor or a Purchaser Agent, as applicable; (ii) each of Assigning Purchaser and Assigning EagleFunding Investor shall relinquish its respective rights and be released from its respective obligations under the Agreements and cease to be a party thereto and (iii) the Administrative Agent and the Purchaser Agent of the New Purchaser Group shall make all payments under the Agreements in respect of the Conduit Assigned Interest and the Committed Assigned Interest (including, without limitation, all payments in respect of such interest in the Invested Amount, discount and fees) to Purchasing Purchaser and Purchasing Investor, as applicable.</w:t>
      </w:r>
    </w:p>
    <w:p>
      <w:pPr>
        <w:spacing w:after="0" w:line="341"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4. Representations and Warranties. Each of Assigning Purchaser and Assigning EagleFunding Investor (solely in its capacity as a Purchaser) (a) represents and warrants that it is the legal and beneficial owner of the interest being assigned by it hereunder and that such interest is free and clear of any Lien; (b) makes no representation or warranty and assumes no responsibility with respect to any statements, warranties or representations made in or in connection with the Purchase Agreement, any other Related Document or any other instrument or document furnished pursuant thereto or the execution, legality, validity, enforceability, genuineness, sufficiency or value of the Agreement or the Receivables, any other Related Document or any other instrument or document furnished pursuant thereto; and (c) makes no representation or warranty and assumes no responsibility with respect to the financial condition of any of the Seller, the Master Servicer or any Obligor or the performance or observance by any of the Seller, the Master Servicer or any Obligor of any of its obligations under the Purchase Agreement, any other Related Document, or any instrument or document furnished pursuant thereto.</w:t>
      </w:r>
    </w:p>
    <w:p>
      <w:pPr>
        <w:spacing w:after="0" w:line="190"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5. Acknowledgments of New Purchasers and Purchaser Agent. Each member of the New Purchaser Group hereby (a) confirms that it has received copies of the Agreement and such other documents and information as it has deemed appropriate to make its own credit analysis and decision to enter into this Assignment, become a party to the Purchase Agreement and fulfill its obligations thereunder; (b) agrees that it will, independently and without reliance upon Assigning Purchaser, Assigning EagleFunding Investor or any of their respective Affiliates and based on such documents and information as it shall deem appropriate at the time, continue to make its own credit decisions in taking or not taking action under the Purchase Agreement and any other Related Document; (c) appoints and authorizes the Administrative Agent to take such action as agent on its behalf and to exercise such powers and discretion under the Purchase Agreement and the other Related Documents as are delegated to the Administrative Agent by the terms thereof, together with such powers and discretion as are reasonably incidental thereto; (d) agrees that it will perform in accordance with their terms all of the obligations and other undertakings which by the terms of the Agreements are required to be performed by it as a Purchaser, a YC SUSI Trust Investor or a Purchaser Agent, as applicable; (e) specifies as its address for notices and its account for payments the office and account set forth on Schedule I hereof and (f) agrees that it will not institute against the Purchasing Purchaser any proceeding of the type referred to in Section 14.6 of the Purchaser Agreement prior to the date which is one year and one day after the payment in full of all Commercial Paper issued by the Purchasing Purchaser. Purchasing Purchaser and Purchasing Investor, in their respective capacities as a Purchaser and YC SUSI Trust Investor, hereby appoint and authorize</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130" w:name="page131"/>
    <w:bookmarkEnd w:id="130"/>
    <w:p>
      <w:pPr>
        <w:ind w:right="2779"/>
        <w:spacing w:after="0" w:line="275" w:lineRule="auto"/>
        <w:rPr>
          <w:sz w:val="20"/>
          <w:szCs w:val="20"/>
          <w:color w:val="auto"/>
        </w:rPr>
      </w:pPr>
      <w:r>
        <w:rPr>
          <w:rFonts w:ascii="Courier New" w:cs="Courier New" w:eastAsia="Courier New" w:hAnsi="Courier New"/>
          <w:sz w:val="14"/>
          <w:szCs w:val="14"/>
          <w:color w:val="auto"/>
        </w:rPr>
        <w:t>New Purchaser Agent as the Purchaser Agent for the New Purchaser Group to take such action as agent on its behalf and to exercise such powers and discretion under the Purchase Agreement and the other Related Documents as are delegated to a Purchaser Agent by the terms thereof, together with such powers and discretion as are reasonably incidental thereto. The New Purchaser Agent hereby accepts the appointment as Purchaser Agent for the New Purchaser Group.</w:t>
      </w:r>
    </w:p>
    <w:p>
      <w:pPr>
        <w:spacing w:after="0" w:line="162" w:lineRule="exact"/>
        <w:rPr>
          <w:sz w:val="20"/>
          <w:szCs w:val="20"/>
          <w:color w:val="auto"/>
        </w:rPr>
      </w:pPr>
    </w:p>
    <w:p>
      <w:pPr>
        <w:ind w:right="2959" w:firstLine="558"/>
        <w:spacing w:after="0" w:line="235" w:lineRule="auto"/>
        <w:rPr>
          <w:sz w:val="20"/>
          <w:szCs w:val="20"/>
          <w:color w:val="auto"/>
        </w:rPr>
      </w:pPr>
      <w:r>
        <w:rPr>
          <w:rFonts w:ascii="Courier New" w:cs="Courier New" w:eastAsia="Courier New" w:hAnsi="Courier New"/>
          <w:sz w:val="16"/>
          <w:szCs w:val="16"/>
          <w:color w:val="auto"/>
        </w:rPr>
        <w:t>Section 6. Governing Law. THIS AGREEMENT SHALL BE GOVERNED BY AND CONSTRUED IN ACCORDANCE WITH THE LAWS OF THE STATE OF NEW YORK (WITHOUT REFERENCE TO THE CONFLICTS OF LAW PRINCIPLES THEREOF OTHER THAN SECTION 5-1401 OF THE NEW YORK GENERAL OBLIGATIONS LAW).</w:t>
      </w:r>
    </w:p>
    <w:p>
      <w:pPr>
        <w:spacing w:after="0" w:line="185"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Section 7. Entire Agreement.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86"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8. Severability. If any one or more of the covenants, agreements, provisions or terms of this Assignment shall for any reason whatsoever be held invalid, then such covenants, agreements, provisions, or terms shall be deemed severable from the remaining covenants, agreements, provisions, or terms of this Assignment and shall in no way affect the validity or enforceability of the other provisions of this Assignment.</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Section 9. Execution in Counterparts. This agreement may be executed in any number of counterparts and by different parties hereto in separate counterparts, each of which when so executed shall be deemed to be an original and all of which when taken together shall constitute one and the same agreement. Delivery by facsimile of an executed signature page of this agreement shall be effective as delivery of an executed counterpart hereof.</w:t>
      </w:r>
    </w:p>
    <w:p>
      <w:pPr>
        <w:spacing w:after="0" w:line="183" w:lineRule="exact"/>
        <w:rPr>
          <w:sz w:val="20"/>
          <w:szCs w:val="20"/>
          <w:color w:val="auto"/>
        </w:rPr>
      </w:pPr>
    </w:p>
    <w:p>
      <w:pPr>
        <w:ind w:right="2779" w:firstLine="558"/>
        <w:spacing w:after="0" w:line="234" w:lineRule="auto"/>
        <w:rPr>
          <w:sz w:val="20"/>
          <w:szCs w:val="20"/>
          <w:color w:val="auto"/>
        </w:rPr>
      </w:pPr>
      <w:r>
        <w:rPr>
          <w:rFonts w:ascii="Courier New" w:cs="Courier New" w:eastAsia="Courier New" w:hAnsi="Courier New"/>
          <w:sz w:val="16"/>
          <w:szCs w:val="16"/>
          <w:color w:val="auto"/>
        </w:rPr>
        <w:t>Section 10. Successors and Assigns. This agreement shall be binding on the parties hereto and their respective successors and assigns.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131" w:name="page132"/>
    <w:bookmarkEnd w:id="131"/>
    <w:p>
      <w:pPr>
        <w:jc w:val="both"/>
        <w:ind w:right="2959" w:firstLine="1116"/>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Assignment to be duly executed by their respective officers thereunto duly authorized, as of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EAGLEFUNDING CAPITAL CORPORATION,</w:t>
      </w:r>
    </w:p>
    <w:p>
      <w:pPr>
        <w:spacing w:after="0" w:line="236" w:lineRule="auto"/>
        <w:rPr>
          <w:sz w:val="20"/>
          <w:szCs w:val="20"/>
          <w:color w:val="auto"/>
        </w:rPr>
      </w:pPr>
      <w:r>
        <w:rPr>
          <w:rFonts w:ascii="Courier New" w:cs="Courier New" w:eastAsia="Courier New" w:hAnsi="Courier New"/>
          <w:sz w:val="16"/>
          <w:szCs w:val="16"/>
          <w:color w:val="auto"/>
        </w:rPr>
        <w:t>as Assigning Purchaser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National Bank, N.A.,</w:t>
      </w:r>
    </w:p>
    <w:p>
      <w:pPr>
        <w:spacing w:after="0" w:line="236" w:lineRule="auto"/>
        <w:rPr>
          <w:sz w:val="20"/>
          <w:szCs w:val="20"/>
          <w:color w:val="auto"/>
        </w:rPr>
      </w:pPr>
      <w:r>
        <w:rPr>
          <w:rFonts w:ascii="Courier New" w:cs="Courier New" w:eastAsia="Courier New" w:hAnsi="Courier New"/>
          <w:sz w:val="16"/>
          <w:szCs w:val="16"/>
          <w:color w:val="auto"/>
        </w:rPr>
        <w:t>as Assigning EagleFunding Investor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236" w:lineRule="auto"/>
        <w:rPr>
          <w:sz w:val="20"/>
          <w:szCs w:val="20"/>
          <w:color w:val="auto"/>
        </w:rPr>
      </w:pPr>
      <w:r>
        <w:rPr>
          <w:rFonts w:ascii="Courier New" w:cs="Courier New" w:eastAsia="Courier New" w:hAnsi="Courier New"/>
          <w:sz w:val="16"/>
          <w:szCs w:val="16"/>
          <w:color w:val="auto"/>
        </w:rPr>
        <w:t>as Outgoing Purchaser Agent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Assignment and Assumption Agreement</w:t>
      </w:r>
    </w:p>
    <w:p>
      <w:pPr>
        <w:sectPr>
          <w:pgSz w:w="11900" w:h="16838" w:orient="portrait"/>
          <w:cols w:equalWidth="0" w:num="1">
            <w:col w:w="10219"/>
          </w:cols>
          <w:pgMar w:left="240" w:top="654" w:right="1440" w:bottom="1440" w:gutter="0" w:footer="0" w:header="0"/>
        </w:sectPr>
      </w:pPr>
    </w:p>
    <w:bookmarkStart w:id="132" w:name="page133"/>
    <w:bookmarkEnd w:id="132"/>
    <w:p>
      <w:pPr>
        <w:jc w:val="both"/>
        <w:ind w:right="2959" w:firstLine="1116"/>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Assignment to be duly executed by their respective officers thereunto duly authorized, as of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YC SUSI Trust,</w:t>
      </w:r>
    </w:p>
    <w:p>
      <w:pPr>
        <w:spacing w:after="0" w:line="236" w:lineRule="auto"/>
        <w:rPr>
          <w:sz w:val="20"/>
          <w:szCs w:val="20"/>
          <w:color w:val="auto"/>
        </w:rPr>
      </w:pPr>
      <w:r>
        <w:rPr>
          <w:rFonts w:ascii="Courier New" w:cs="Courier New" w:eastAsia="Courier New" w:hAnsi="Courier New"/>
          <w:sz w:val="16"/>
          <w:szCs w:val="16"/>
          <w:color w:val="auto"/>
        </w:rPr>
        <w:t>as Purchasing Purchaser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Bank of America, NA., as</w:t>
      </w:r>
    </w:p>
    <w:p>
      <w:pPr>
        <w:ind w:left="360"/>
        <w:spacing w:after="0" w:line="236" w:lineRule="auto"/>
        <w:rPr>
          <w:sz w:val="20"/>
          <w:szCs w:val="20"/>
          <w:color w:val="auto"/>
        </w:rPr>
      </w:pPr>
      <w:r>
        <w:rPr>
          <w:rFonts w:ascii="Courier New" w:cs="Courier New" w:eastAsia="Courier New" w:hAnsi="Courier New"/>
          <w:sz w:val="16"/>
          <w:szCs w:val="16"/>
          <w:color w:val="auto"/>
        </w:rPr>
        <w:t>Administrative Trustee</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_____________________________</w:t>
      </w:r>
    </w:p>
    <w:p>
      <w:pPr>
        <w:ind w:left="360"/>
        <w:spacing w:after="0" w:line="236" w:lineRule="auto"/>
        <w:rPr>
          <w:sz w:val="20"/>
          <w:szCs w:val="20"/>
          <w:color w:val="auto"/>
        </w:rPr>
      </w:pPr>
      <w:r>
        <w:rPr>
          <w:rFonts w:ascii="Courier New" w:cs="Courier New" w:eastAsia="Courier New" w:hAnsi="Courier New"/>
          <w:sz w:val="16"/>
          <w:szCs w:val="16"/>
          <w:color w:val="auto"/>
        </w:rPr>
        <w:t>Name:</w:t>
      </w:r>
    </w:p>
    <w:p>
      <w:pPr>
        <w:ind w:left="36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236" w:lineRule="auto"/>
        <w:rPr>
          <w:sz w:val="20"/>
          <w:szCs w:val="20"/>
          <w:color w:val="auto"/>
        </w:rPr>
      </w:pPr>
      <w:r>
        <w:rPr>
          <w:rFonts w:ascii="Courier New" w:cs="Courier New" w:eastAsia="Courier New" w:hAnsi="Courier New"/>
          <w:sz w:val="16"/>
          <w:szCs w:val="16"/>
          <w:color w:val="auto"/>
        </w:rPr>
        <w:t>as Purchasing Investor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236" w:lineRule="auto"/>
        <w:rPr>
          <w:sz w:val="20"/>
          <w:szCs w:val="20"/>
          <w:color w:val="auto"/>
        </w:rPr>
      </w:pPr>
      <w:r>
        <w:rPr>
          <w:rFonts w:ascii="Courier New" w:cs="Courier New" w:eastAsia="Courier New" w:hAnsi="Courier New"/>
          <w:sz w:val="16"/>
          <w:szCs w:val="16"/>
          <w:color w:val="auto"/>
        </w:rPr>
        <w:t>as New Purchaser Agent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Consented and Agreed: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LPAC CORP.,</w:t>
      </w:r>
    </w:p>
    <w:p>
      <w:pPr>
        <w:spacing w:after="0" w:line="236" w:lineRule="auto"/>
        <w:rPr>
          <w:sz w:val="20"/>
          <w:szCs w:val="20"/>
          <w:color w:val="auto"/>
        </w:rPr>
      </w:pPr>
      <w:r>
        <w:rPr>
          <w:rFonts w:ascii="Courier New" w:cs="Courier New" w:eastAsia="Courier New" w:hAnsi="Courier New"/>
          <w:sz w:val="16"/>
          <w:szCs w:val="16"/>
          <w:color w:val="auto"/>
        </w:rPr>
        <w:t>as Seller,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36" w:lineRule="auto"/>
        <w:rPr>
          <w:sz w:val="20"/>
          <w:szCs w:val="20"/>
          <w:color w:val="auto"/>
        </w:rPr>
      </w:pPr>
      <w:r>
        <w:rPr>
          <w:rFonts w:ascii="Courier New" w:cs="Courier New" w:eastAsia="Courier New" w:hAnsi="Courier New"/>
          <w:sz w:val="16"/>
          <w:szCs w:val="16"/>
          <w:color w:val="auto"/>
        </w:rPr>
        <w:t>Name:</w:t>
      </w:r>
    </w:p>
    <w:p>
      <w:pPr>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Assignment and Assumption Agreement</w:t>
      </w:r>
    </w:p>
    <w:p>
      <w:pPr>
        <w:sectPr>
          <w:pgSz w:w="11900" w:h="16838" w:orient="portrait"/>
          <w:cols w:equalWidth="0" w:num="1">
            <w:col w:w="10219"/>
          </w:cols>
          <w:pgMar w:left="240" w:top="654" w:right="1440" w:bottom="1440" w:gutter="0" w:footer="0" w:header="0"/>
        </w:sectPr>
      </w:pPr>
    </w:p>
    <w:bookmarkStart w:id="133" w:name="page134"/>
    <w:bookmarkEnd w:id="133"/>
    <w:p>
      <w:pPr>
        <w:jc w:val="center"/>
        <w:ind w:right="2795"/>
        <w:spacing w:after="0"/>
        <w:rPr>
          <w:sz w:val="20"/>
          <w:szCs w:val="20"/>
          <w:color w:val="auto"/>
        </w:rPr>
      </w:pPr>
      <w:r>
        <w:rPr>
          <w:rFonts w:ascii="Courier New" w:cs="Courier New" w:eastAsia="Courier New" w:hAnsi="Courier New"/>
          <w:sz w:val="16"/>
          <w:szCs w:val="16"/>
          <w:color w:val="auto"/>
        </w:rPr>
        <w:t>SCHEDULE I</w:t>
      </w:r>
    </w:p>
    <w:p>
      <w:pPr>
        <w:spacing w:after="0" w:line="183" w:lineRule="exact"/>
        <w:rPr>
          <w:sz w:val="20"/>
          <w:szCs w:val="20"/>
          <w:color w:val="auto"/>
        </w:rPr>
      </w:pPr>
    </w:p>
    <w:p>
      <w:pPr>
        <w:jc w:val="center"/>
        <w:ind w:right="2795"/>
        <w:spacing w:after="0"/>
        <w:rPr>
          <w:sz w:val="20"/>
          <w:szCs w:val="20"/>
          <w:color w:val="auto"/>
        </w:rPr>
      </w:pPr>
      <w:r>
        <w:rPr>
          <w:rFonts w:ascii="Courier New" w:cs="Courier New" w:eastAsia="Courier New" w:hAnsi="Courier New"/>
          <w:sz w:val="14"/>
          <w:szCs w:val="14"/>
          <w:color w:val="auto"/>
        </w:rPr>
        <w:t>ADMINISTRATIVE INFORMATION</w:t>
      </w:r>
    </w:p>
    <w:p>
      <w:pPr>
        <w:spacing w:after="0" w:line="14"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FOR</w:t>
      </w:r>
    </w:p>
    <w:p>
      <w:pPr>
        <w:jc w:val="center"/>
        <w:ind w:right="2695"/>
        <w:spacing w:after="0" w:line="236" w:lineRule="auto"/>
        <w:rPr>
          <w:sz w:val="20"/>
          <w:szCs w:val="20"/>
          <w:color w:val="auto"/>
        </w:rPr>
      </w:pPr>
      <w:r>
        <w:rPr>
          <w:rFonts w:ascii="Courier New" w:cs="Courier New" w:eastAsia="Courier New" w:hAnsi="Courier New"/>
          <w:sz w:val="16"/>
          <w:szCs w:val="16"/>
          <w:color w:val="auto"/>
        </w:rPr>
        <w:t>NEW PURCHASER GROUP</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BANK OF AMERICA - TREASURY</w:t>
      </w:r>
    </w:p>
    <w:p>
      <w:pPr>
        <w:ind w:left="5"/>
        <w:spacing w:after="0" w:line="236" w:lineRule="auto"/>
        <w:rPr>
          <w:sz w:val="20"/>
          <w:szCs w:val="20"/>
          <w:color w:val="auto"/>
        </w:rPr>
      </w:pPr>
      <w:r>
        <w:rPr>
          <w:rFonts w:ascii="Courier New" w:cs="Courier New" w:eastAsia="Courier New" w:hAnsi="Courier New"/>
          <w:sz w:val="16"/>
          <w:szCs w:val="16"/>
          <w:color w:val="auto"/>
        </w:rPr>
        <w:t>214 N. Tryon Street</w:t>
      </w:r>
    </w:p>
    <w:p>
      <w:pPr>
        <w:ind w:left="5"/>
        <w:spacing w:after="0" w:line="237" w:lineRule="auto"/>
        <w:rPr>
          <w:sz w:val="20"/>
          <w:szCs w:val="20"/>
          <w:color w:val="auto"/>
        </w:rPr>
      </w:pPr>
      <w:r>
        <w:rPr>
          <w:rFonts w:ascii="Courier New" w:cs="Courier New" w:eastAsia="Courier New" w:hAnsi="Courier New"/>
          <w:sz w:val="16"/>
          <w:szCs w:val="16"/>
          <w:color w:val="auto"/>
        </w:rPr>
        <w:t>NC1-027-19-01</w:t>
      </w:r>
    </w:p>
    <w:p>
      <w:pPr>
        <w:ind w:left="5"/>
        <w:spacing w:after="0" w:line="237" w:lineRule="auto"/>
        <w:rPr>
          <w:sz w:val="20"/>
          <w:szCs w:val="20"/>
          <w:color w:val="auto"/>
        </w:rPr>
      </w:pPr>
      <w:r>
        <w:rPr>
          <w:rFonts w:ascii="Courier New" w:cs="Courier New" w:eastAsia="Courier New" w:hAnsi="Courier New"/>
          <w:sz w:val="16"/>
          <w:szCs w:val="16"/>
          <w:color w:val="auto"/>
        </w:rPr>
        <w:t>Charlotte, NC 28255</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CONTACTS:</w:t>
      </w:r>
    </w:p>
    <w:p>
      <w:pPr>
        <w:ind w:left="5"/>
        <w:spacing w:after="0" w:line="236" w:lineRule="auto"/>
        <w:rPr>
          <w:sz w:val="20"/>
          <w:szCs w:val="20"/>
          <w:color w:val="auto"/>
        </w:rPr>
      </w:pPr>
      <w:r>
        <w:rPr>
          <w:rFonts w:ascii="Courier New" w:cs="Courier New" w:eastAsia="Courier New" w:hAnsi="Courier New"/>
          <w:sz w:val="16"/>
          <w:szCs w:val="16"/>
          <w:color w:val="auto"/>
        </w:rPr>
        <w:t>Camille Zerbinos</w:t>
      </w:r>
    </w:p>
    <w:p>
      <w:pPr>
        <w:ind w:left="565" w:hanging="565"/>
        <w:spacing w:after="0" w:line="237" w:lineRule="auto"/>
        <w:tabs>
          <w:tab w:leader="none" w:pos="56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386-8361 (tel)</w:t>
      </w:r>
    </w:p>
    <w:p>
      <w:pPr>
        <w:spacing w:after="0" w:line="4" w:lineRule="exact"/>
        <w:rPr>
          <w:rFonts w:ascii="Courier New" w:cs="Courier New" w:eastAsia="Courier New" w:hAnsi="Courier New"/>
          <w:sz w:val="16"/>
          <w:szCs w:val="16"/>
          <w:color w:val="auto"/>
        </w:rPr>
      </w:pPr>
    </w:p>
    <w:p>
      <w:pPr>
        <w:ind w:left="5" w:right="7059" w:hanging="5"/>
        <w:spacing w:after="0" w:line="295" w:lineRule="auto"/>
        <w:tabs>
          <w:tab w:leader="none" w:pos="56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387-0027 (fax) Camille.Zerbinos@bankofamerica.com</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Tina Wolfrey</w:t>
      </w:r>
    </w:p>
    <w:p>
      <w:pPr>
        <w:ind w:left="565" w:hanging="565"/>
        <w:spacing w:after="0" w:line="236" w:lineRule="auto"/>
        <w:tabs>
          <w:tab w:leader="none" w:pos="56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388-8138 (tel)</w:t>
      </w:r>
    </w:p>
    <w:p>
      <w:pPr>
        <w:spacing w:after="0" w:line="4" w:lineRule="exact"/>
        <w:rPr>
          <w:rFonts w:ascii="Courier New" w:cs="Courier New" w:eastAsia="Courier New" w:hAnsi="Courier New"/>
          <w:sz w:val="16"/>
          <w:szCs w:val="16"/>
          <w:color w:val="auto"/>
        </w:rPr>
      </w:pPr>
    </w:p>
    <w:p>
      <w:pPr>
        <w:ind w:left="5" w:right="7239" w:hanging="5"/>
        <w:spacing w:after="0" w:line="295" w:lineRule="auto"/>
        <w:tabs>
          <w:tab w:leader="none" w:pos="56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409-0853 (fax) Tina.c.wolfrey@bankofamerica.com</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WIRING INSTRUCTIONS: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YC SUSI Trust</w:t>
      </w:r>
    </w:p>
    <w:p>
      <w:pPr>
        <w:ind w:left="5"/>
        <w:spacing w:after="0" w:line="236" w:lineRule="auto"/>
        <w:rPr>
          <w:sz w:val="20"/>
          <w:szCs w:val="20"/>
          <w:color w:val="auto"/>
        </w:rPr>
      </w:pPr>
      <w:r>
        <w:rPr>
          <w:rFonts w:ascii="Courier New" w:cs="Courier New" w:eastAsia="Courier New" w:hAnsi="Courier New"/>
          <w:sz w:val="16"/>
          <w:szCs w:val="16"/>
          <w:color w:val="auto"/>
        </w:rPr>
        <w:t>Deutsche Bank Trust Co. Americas, New York, NY</w:t>
      </w:r>
    </w:p>
    <w:p>
      <w:pPr>
        <w:ind w:left="5"/>
        <w:spacing w:after="0" w:line="237" w:lineRule="auto"/>
        <w:rPr>
          <w:sz w:val="20"/>
          <w:szCs w:val="20"/>
          <w:color w:val="auto"/>
        </w:rPr>
      </w:pPr>
      <w:r>
        <w:rPr>
          <w:rFonts w:ascii="Courier New" w:cs="Courier New" w:eastAsia="Courier New" w:hAnsi="Courier New"/>
          <w:sz w:val="16"/>
          <w:szCs w:val="16"/>
          <w:color w:val="auto"/>
        </w:rPr>
        <w:t>ABA: 021 001 033</w:t>
      </w:r>
    </w:p>
    <w:p>
      <w:pPr>
        <w:ind w:left="5"/>
        <w:spacing w:after="0" w:line="237" w:lineRule="auto"/>
        <w:rPr>
          <w:sz w:val="20"/>
          <w:szCs w:val="20"/>
          <w:color w:val="auto"/>
        </w:rPr>
      </w:pPr>
      <w:r>
        <w:rPr>
          <w:rFonts w:ascii="Courier New" w:cs="Courier New" w:eastAsia="Courier New" w:hAnsi="Courier New"/>
          <w:sz w:val="16"/>
          <w:szCs w:val="16"/>
          <w:color w:val="auto"/>
        </w:rPr>
        <w:t>BNF: DBTCA as Trustee for YC SUSI Trust</w:t>
      </w:r>
    </w:p>
    <w:p>
      <w:pPr>
        <w:ind w:left="5"/>
        <w:spacing w:after="0"/>
        <w:tabs>
          <w:tab w:leader="none" w:pos="824" w:val="left"/>
        </w:tabs>
        <w:rPr>
          <w:sz w:val="20"/>
          <w:szCs w:val="20"/>
          <w:color w:val="auto"/>
        </w:rPr>
      </w:pPr>
      <w:r>
        <w:rPr>
          <w:rFonts w:ascii="Courier New" w:cs="Courier New" w:eastAsia="Courier New" w:hAnsi="Courier New"/>
          <w:sz w:val="16"/>
          <w:szCs w:val="16"/>
          <w:color w:val="auto"/>
        </w:rPr>
        <w:t>Acct #:</w:t>
      </w:r>
      <w:r>
        <w:rPr>
          <w:sz w:val="20"/>
          <w:szCs w:val="20"/>
          <w:color w:val="auto"/>
        </w:rPr>
        <w:tab/>
      </w:r>
      <w:r>
        <w:rPr>
          <w:rFonts w:ascii="Courier New" w:cs="Courier New" w:eastAsia="Courier New" w:hAnsi="Courier New"/>
          <w:sz w:val="14"/>
          <w:szCs w:val="14"/>
          <w:color w:val="auto"/>
        </w:rPr>
        <w:t>00 428 541</w:t>
      </w:r>
    </w:p>
    <w:p>
      <w:pPr>
        <w:ind w:left="5"/>
        <w:spacing w:after="0" w:line="237" w:lineRule="auto"/>
        <w:rPr>
          <w:sz w:val="20"/>
          <w:szCs w:val="20"/>
          <w:color w:val="auto"/>
        </w:rPr>
      </w:pPr>
      <w:r>
        <w:rPr>
          <w:rFonts w:ascii="Courier New" w:cs="Courier New" w:eastAsia="Courier New" w:hAnsi="Courier New"/>
          <w:sz w:val="16"/>
          <w:szCs w:val="16"/>
          <w:color w:val="auto"/>
        </w:rPr>
        <w:t>Ref: YC SUSI - Deal Name</w:t>
      </w:r>
    </w:p>
    <w:p>
      <w:pPr>
        <w:ind w:left="5"/>
        <w:spacing w:after="0" w:line="237" w:lineRule="auto"/>
        <w:rPr>
          <w:sz w:val="20"/>
          <w:szCs w:val="20"/>
          <w:color w:val="auto"/>
        </w:rPr>
      </w:pPr>
      <w:r>
        <w:rPr>
          <w:rFonts w:ascii="Courier New" w:cs="Courier New" w:eastAsia="Courier New" w:hAnsi="Courier New"/>
          <w:sz w:val="16"/>
          <w:szCs w:val="16"/>
          <w:color w:val="auto"/>
        </w:rPr>
        <w:t>Attn: Jessica Richmond</w:t>
      </w:r>
    </w:p>
    <w:p>
      <w:pPr>
        <w:sectPr>
          <w:pgSz w:w="11900" w:h="16838" w:orient="portrait"/>
          <w:cols w:equalWidth="0" w:num="1">
            <w:col w:w="10224"/>
          </w:cols>
          <w:pgMar w:left="235" w:top="648" w:right="1440" w:bottom="1440" w:gutter="0" w:footer="0" w:header="0"/>
        </w:sectPr>
      </w:pPr>
    </w:p>
    <w:bookmarkStart w:id="134" w:name="page135"/>
    <w:bookmarkEnd w:id="134"/>
    <w:p>
      <w:pPr>
        <w:jc w:val="right"/>
        <w:ind w:right="2779"/>
        <w:spacing w:after="0"/>
        <w:rPr>
          <w:sz w:val="20"/>
          <w:szCs w:val="20"/>
          <w:color w:val="auto"/>
        </w:rPr>
      </w:pPr>
      <w:r>
        <w:rPr>
          <w:rFonts w:ascii="Courier New" w:cs="Courier New" w:eastAsia="Courier New" w:hAnsi="Courier New"/>
          <w:sz w:val="16"/>
          <w:szCs w:val="16"/>
          <w:color w:val="auto"/>
        </w:rPr>
        <w:t>EXHIBIT 10.13</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Execution Copy</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AMENDMENT NO. 2</w:t>
      </w:r>
    </w:p>
    <w:p>
      <w:pPr>
        <w:ind w:left="3620"/>
        <w:spacing w:after="0" w:line="236" w:lineRule="auto"/>
        <w:rPr>
          <w:sz w:val="20"/>
          <w:szCs w:val="20"/>
          <w:color w:val="auto"/>
        </w:rPr>
      </w:pPr>
      <w:r>
        <w:rPr>
          <w:rFonts w:ascii="Courier New" w:cs="Courier New" w:eastAsia="Courier New" w:hAnsi="Courier New"/>
          <w:sz w:val="16"/>
          <w:szCs w:val="16"/>
          <w:color w:val="auto"/>
        </w:rPr>
        <w:t>to</w:t>
      </w:r>
    </w:p>
    <w:p>
      <w:pPr>
        <w:ind w:left="2320"/>
        <w:spacing w:after="0" w:line="237" w:lineRule="auto"/>
        <w:rPr>
          <w:sz w:val="20"/>
          <w:szCs w:val="20"/>
          <w:color w:val="auto"/>
        </w:rPr>
      </w:pPr>
      <w:r>
        <w:rPr>
          <w:rFonts w:ascii="Courier New" w:cs="Courier New" w:eastAsia="Courier New" w:hAnsi="Courier New"/>
          <w:sz w:val="16"/>
          <w:szCs w:val="16"/>
          <w:color w:val="auto"/>
        </w:rPr>
        <w:t>RECEIVABLES PURCHASE AGREEMENT</w:t>
      </w:r>
    </w:p>
    <w:p>
      <w:pPr>
        <w:ind w:left="2600"/>
        <w:spacing w:after="0" w:line="237" w:lineRule="auto"/>
        <w:rPr>
          <w:sz w:val="20"/>
          <w:szCs w:val="20"/>
          <w:color w:val="auto"/>
        </w:rPr>
      </w:pPr>
      <w:r>
        <w:rPr>
          <w:rFonts w:ascii="Courier New" w:cs="Courier New" w:eastAsia="Courier New" w:hAnsi="Courier New"/>
          <w:sz w:val="16"/>
          <w:szCs w:val="16"/>
          <w:color w:val="auto"/>
        </w:rPr>
        <w:t>Dated as of June 25, 2004</w:t>
      </w:r>
    </w:p>
    <w:p>
      <w:pPr>
        <w:spacing w:after="0" w:line="183" w:lineRule="exact"/>
        <w:rPr>
          <w:sz w:val="20"/>
          <w:szCs w:val="20"/>
          <w:color w:val="auto"/>
        </w:rPr>
      </w:pPr>
    </w:p>
    <w:p>
      <w:pPr>
        <w:ind w:right="3059" w:firstLine="1116"/>
        <w:spacing w:after="0" w:line="279" w:lineRule="auto"/>
        <w:rPr>
          <w:sz w:val="20"/>
          <w:szCs w:val="20"/>
          <w:color w:val="auto"/>
        </w:rPr>
      </w:pPr>
      <w:r>
        <w:rPr>
          <w:rFonts w:ascii="Courier New" w:cs="Courier New" w:eastAsia="Courier New" w:hAnsi="Courier New"/>
          <w:sz w:val="14"/>
          <w:szCs w:val="14"/>
          <w:color w:val="auto"/>
        </w:rPr>
        <w:t>THIS AMENDMENT NO. 2 ("Amendment") is entered into as of June 25, 2004 by and among LPAC Corp. II (the "Seller"), Lennox Industries Inc. (the "Servicer"), Jupiter Securitization Corporation ("Jupiter"), the Financial Institutions party hereto and Bank One, NA, as Agent (the "Agent").</w:t>
      </w:r>
    </w:p>
    <w:p>
      <w:pPr>
        <w:spacing w:after="0" w:line="151"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PRELIMINARY STATEMENT</w:t>
      </w:r>
    </w:p>
    <w:p>
      <w:pPr>
        <w:spacing w:after="0" w:line="183" w:lineRule="exact"/>
        <w:rPr>
          <w:sz w:val="20"/>
          <w:szCs w:val="20"/>
          <w:color w:val="auto"/>
        </w:rPr>
      </w:pPr>
    </w:p>
    <w:p>
      <w:pPr>
        <w:ind w:right="2779" w:firstLine="1116"/>
        <w:spacing w:after="0" w:line="275" w:lineRule="auto"/>
        <w:rPr>
          <w:sz w:val="20"/>
          <w:szCs w:val="20"/>
          <w:color w:val="auto"/>
        </w:rPr>
      </w:pPr>
      <w:r>
        <w:rPr>
          <w:rFonts w:ascii="Courier New" w:cs="Courier New" w:eastAsia="Courier New" w:hAnsi="Courier New"/>
          <w:sz w:val="14"/>
          <w:szCs w:val="14"/>
          <w:color w:val="auto"/>
        </w:rPr>
        <w:t>A. The Seller, the Servicer, Jupiter, the Financial Institutions and the Agent are parties to that certain Receivables Purchase Agreement dated as of June 27, 2003 (as amended on September 11, 2004, and as the same may be further amended, restated, supplemented or otherwise modified from time to time, the "Purchase Agreement"). Capitalized terms used herein and not otherwise defined shall have the meanings ascribed to them in the Purchase Agreement.</w:t>
      </w:r>
    </w:p>
    <w:p>
      <w:pPr>
        <w:spacing w:after="0" w:line="162" w:lineRule="exact"/>
        <w:rPr>
          <w:sz w:val="20"/>
          <w:szCs w:val="20"/>
          <w:color w:val="auto"/>
        </w:rPr>
      </w:pPr>
    </w:p>
    <w:p>
      <w:pPr>
        <w:ind w:right="2779" w:firstLine="1116"/>
        <w:spacing w:after="0" w:line="235" w:lineRule="auto"/>
        <w:rPr>
          <w:sz w:val="20"/>
          <w:szCs w:val="20"/>
          <w:color w:val="auto"/>
        </w:rPr>
      </w:pPr>
      <w:r>
        <w:rPr>
          <w:rFonts w:ascii="Courier New" w:cs="Courier New" w:eastAsia="Courier New" w:hAnsi="Courier New"/>
          <w:sz w:val="16"/>
          <w:szCs w:val="16"/>
          <w:color w:val="auto"/>
        </w:rPr>
        <w:t>B. The Seller, the Servicer, Jupiter, the Financial Institutions and the Agent have agreed to amend the Purchase Agreement on the terms and subject to the conditions hereinafter set forth.</w:t>
      </w:r>
    </w:p>
    <w:p>
      <w:pPr>
        <w:spacing w:after="0" w:line="183" w:lineRule="exact"/>
        <w:rPr>
          <w:sz w:val="20"/>
          <w:szCs w:val="20"/>
          <w:color w:val="auto"/>
        </w:rPr>
      </w:pPr>
    </w:p>
    <w:p>
      <w:pPr>
        <w:ind w:right="2879" w:firstLine="1116"/>
        <w:spacing w:after="0" w:line="283" w:lineRule="auto"/>
        <w:rPr>
          <w:sz w:val="20"/>
          <w:szCs w:val="20"/>
          <w:color w:val="auto"/>
        </w:rPr>
      </w:pPr>
      <w:r>
        <w:rPr>
          <w:rFonts w:ascii="Courier New" w:cs="Courier New" w:eastAsia="Courier New" w:hAnsi="Courier New"/>
          <w:sz w:val="14"/>
          <w:szCs w:val="14"/>
          <w:color w:val="auto"/>
        </w:rPr>
        <w:t>NOW, THEREFORE, in consideration of the premises set forth above, and other good and valuable consideration, the receipt and sufficiency of which are hereby acknowledged, the parties hereto hereby agree as follows:</w:t>
      </w:r>
    </w:p>
    <w:p>
      <w:pPr>
        <w:spacing w:after="0" w:line="155" w:lineRule="exact"/>
        <w:rPr>
          <w:sz w:val="20"/>
          <w:szCs w:val="20"/>
          <w:color w:val="auto"/>
        </w:rPr>
      </w:pPr>
    </w:p>
    <w:p>
      <w:pPr>
        <w:jc w:val="both"/>
        <w:ind w:right="2959" w:firstLine="1116"/>
        <w:spacing w:after="0" w:line="235" w:lineRule="auto"/>
        <w:rPr>
          <w:sz w:val="20"/>
          <w:szCs w:val="20"/>
          <w:color w:val="auto"/>
        </w:rPr>
      </w:pPr>
      <w:r>
        <w:rPr>
          <w:rFonts w:ascii="Courier New" w:cs="Courier New" w:eastAsia="Courier New" w:hAnsi="Courier New"/>
          <w:sz w:val="16"/>
          <w:szCs w:val="16"/>
          <w:color w:val="auto"/>
        </w:rPr>
        <w:t>SECTION 1. Amendments. Effective as of the date hereof and subject to the satisfaction of the conditions precedent set forth in Section 2 below, the Purchase Agreement is hereby amended as follows:</w:t>
      </w:r>
    </w:p>
    <w:p>
      <w:pPr>
        <w:spacing w:after="0" w:line="183" w:lineRule="exact"/>
        <w:rPr>
          <w:sz w:val="20"/>
          <w:szCs w:val="20"/>
          <w:color w:val="auto"/>
        </w:rPr>
      </w:pPr>
    </w:p>
    <w:p>
      <w:pPr>
        <w:ind w:right="2959" w:firstLine="1112"/>
        <w:spacing w:after="0" w:line="235" w:lineRule="auto"/>
        <w:tabs>
          <w:tab w:leader="none" w:pos="148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I to the Purchase Agreement is amended to delete the definition of "Liquidity Termination Date" in its entirety and replace it with the following:</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"Liquidity Termination Date" means June 24, 2005.</w:t>
      </w:r>
    </w:p>
    <w:p>
      <w:pPr>
        <w:spacing w:after="0" w:line="183" w:lineRule="exact"/>
        <w:rPr>
          <w:sz w:val="20"/>
          <w:szCs w:val="20"/>
          <w:color w:val="auto"/>
        </w:rPr>
      </w:pPr>
    </w:p>
    <w:p>
      <w:pPr>
        <w:ind w:right="3239" w:firstLine="1116"/>
        <w:spacing w:after="0" w:line="235" w:lineRule="auto"/>
        <w:rPr>
          <w:sz w:val="20"/>
          <w:szCs w:val="20"/>
          <w:color w:val="auto"/>
        </w:rPr>
      </w:pPr>
      <w:r>
        <w:rPr>
          <w:rFonts w:ascii="Courier New" w:cs="Courier New" w:eastAsia="Courier New" w:hAnsi="Courier New"/>
          <w:sz w:val="16"/>
          <w:szCs w:val="16"/>
          <w:color w:val="auto"/>
        </w:rPr>
        <w:t>SECTION 2. Conditions Precedent. This Amendment shall become effective and be deemed effective, as of the date first above written, upon receipt by the Agent of the following:</w:t>
      </w:r>
    </w:p>
    <w:p>
      <w:pPr>
        <w:spacing w:after="0" w:line="183" w:lineRule="exact"/>
        <w:rPr>
          <w:sz w:val="20"/>
          <w:szCs w:val="20"/>
          <w:color w:val="auto"/>
        </w:rPr>
      </w:pPr>
    </w:p>
    <w:p>
      <w:pPr>
        <w:ind w:right="2959" w:firstLine="1112"/>
        <w:spacing w:after="0" w:line="234" w:lineRule="auto"/>
        <w:tabs>
          <w:tab w:leader="none" w:pos="148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 (4) copies of this Amendment duly executed by each of the parties hereto; and</w:t>
      </w:r>
    </w:p>
    <w:p>
      <w:pPr>
        <w:spacing w:after="0" w:line="183" w:lineRule="exact"/>
        <w:rPr>
          <w:rFonts w:ascii="Courier New" w:cs="Courier New" w:eastAsia="Courier New" w:hAnsi="Courier New"/>
          <w:sz w:val="16"/>
          <w:szCs w:val="16"/>
          <w:color w:val="auto"/>
        </w:rPr>
      </w:pPr>
    </w:p>
    <w:p>
      <w:pPr>
        <w:ind w:right="2879" w:firstLine="1112"/>
        <w:spacing w:after="0" w:line="235" w:lineRule="auto"/>
        <w:tabs>
          <w:tab w:leader="none" w:pos="148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renewal fee for the account of each Financial Institution, which is not a Non-Renewing Financial Institution, in an aggregate amount equal to $35,000, payable to the</w:t>
      </w:r>
    </w:p>
    <w:p>
      <w:pPr>
        <w:sectPr>
          <w:pgSz w:w="11900" w:h="16838" w:orient="portrait"/>
          <w:cols w:equalWidth="0" w:num="1">
            <w:col w:w="10219"/>
          </w:cols>
          <w:pgMar w:left="240" w:top="493" w:right="1440" w:bottom="1440" w:gutter="0" w:footer="0" w:header="0"/>
        </w:sectPr>
      </w:pPr>
    </w:p>
    <w:bookmarkStart w:id="135" w:name="page136"/>
    <w:bookmarkEnd w:id="135"/>
    <w:p>
      <w:pPr>
        <w:ind w:right="2879"/>
        <w:spacing w:after="0" w:line="234" w:lineRule="auto"/>
        <w:rPr>
          <w:sz w:val="20"/>
          <w:szCs w:val="20"/>
          <w:color w:val="auto"/>
        </w:rPr>
      </w:pPr>
      <w:r>
        <w:rPr>
          <w:rFonts w:ascii="Courier New" w:cs="Courier New" w:eastAsia="Courier New" w:hAnsi="Courier New"/>
          <w:sz w:val="16"/>
          <w:szCs w:val="16"/>
          <w:color w:val="auto"/>
        </w:rPr>
        <w:t>Agent for the ratable benefit of such Financial Institutions based on each such Financial Institution's Commitment.</w:t>
      </w:r>
    </w:p>
    <w:p>
      <w:pPr>
        <w:spacing w:after="0" w:line="183" w:lineRule="exact"/>
        <w:rPr>
          <w:sz w:val="20"/>
          <w:szCs w:val="20"/>
          <w:color w:val="auto"/>
        </w:rPr>
      </w:pPr>
    </w:p>
    <w:p>
      <w:pPr>
        <w:ind w:right="2959" w:firstLine="1116"/>
        <w:spacing w:after="0" w:line="234" w:lineRule="auto"/>
        <w:rPr>
          <w:sz w:val="20"/>
          <w:szCs w:val="20"/>
          <w:color w:val="auto"/>
        </w:rPr>
      </w:pPr>
      <w:r>
        <w:rPr>
          <w:rFonts w:ascii="Courier New" w:cs="Courier New" w:eastAsia="Courier New" w:hAnsi="Courier New"/>
          <w:sz w:val="16"/>
          <w:szCs w:val="16"/>
          <w:color w:val="auto"/>
        </w:rPr>
        <w:t>SECTION 3. Covenants, Representations and Warranties of the Seller and the Servicer.</w:t>
      </w:r>
    </w:p>
    <w:p>
      <w:pPr>
        <w:spacing w:after="0" w:line="183" w:lineRule="exact"/>
        <w:rPr>
          <w:sz w:val="20"/>
          <w:szCs w:val="20"/>
          <w:color w:val="auto"/>
        </w:rPr>
      </w:pPr>
    </w:p>
    <w:p>
      <w:pPr>
        <w:ind w:right="2779" w:firstLine="1112"/>
        <w:spacing w:after="0" w:line="235" w:lineRule="auto"/>
        <w:tabs>
          <w:tab w:leader="none" w:pos="148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effectiveness of this Amendment, each of the Seller and the Servicer hereby reaffirms all covenants, representations and warranties made by it in the Purchase Agreement, as amended, and agrees that all such covenants, representations and warranties shall be deemed to have been re-made as of the effective date of this Amendment.</w:t>
      </w:r>
    </w:p>
    <w:p>
      <w:pPr>
        <w:spacing w:after="0" w:line="185" w:lineRule="exact"/>
        <w:rPr>
          <w:rFonts w:ascii="Courier New" w:cs="Courier New" w:eastAsia="Courier New" w:hAnsi="Courier New"/>
          <w:sz w:val="16"/>
          <w:szCs w:val="16"/>
          <w:color w:val="auto"/>
        </w:rPr>
      </w:pPr>
    </w:p>
    <w:p>
      <w:pPr>
        <w:ind w:right="2779" w:firstLine="1112"/>
        <w:spacing w:after="0" w:line="274" w:lineRule="auto"/>
        <w:tabs>
          <w:tab w:leader="none" w:pos="14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Seller and the Servicer hereby represents and warrants as to itself (i) that this Amendment constitutes the legal, valid and binding obligation of such party enforceable against such party in accordance with its terms, except as enforceability may be limited by bankruptcy, insolvency, reorganization, moratorium or similar laws affecting the enforcement of creditors' rights generally and general principles of equity which may limit the availability of equitable remedies and (ii) upon the effectiveness of this Amendment, that no event shall have occurred and be continuing which constitutes an Amortization Event or a Potential Amortization Event.</w:t>
      </w:r>
    </w:p>
    <w:p>
      <w:pPr>
        <w:spacing w:after="0" w:line="340" w:lineRule="exact"/>
        <w:rPr>
          <w:sz w:val="20"/>
          <w:szCs w:val="20"/>
          <w:color w:val="auto"/>
        </w:rPr>
      </w:pPr>
    </w:p>
    <w:p>
      <w:pPr>
        <w:ind w:right="2959" w:firstLine="1116"/>
        <w:spacing w:after="0" w:line="274" w:lineRule="auto"/>
        <w:rPr>
          <w:sz w:val="20"/>
          <w:szCs w:val="20"/>
          <w:color w:val="auto"/>
        </w:rPr>
      </w:pPr>
      <w:r>
        <w:rPr>
          <w:rFonts w:ascii="Courier New" w:cs="Courier New" w:eastAsia="Courier New" w:hAnsi="Courier New"/>
          <w:sz w:val="14"/>
          <w:szCs w:val="14"/>
          <w:color w:val="auto"/>
        </w:rPr>
        <w:t>SECTION 4. Fees, Costs, Expenses and Taxes. Without limiting the rights of the Agent and the Purchasers set forth in the Purchase Agreement and the Fee Letter, the Seller agrees to pay on demand all reasonable fees and out-of-pocket expenses of counsel for the Agent and the Purchasers incurred in connection with the preparation, execution and delivery of this Amendment and any other instruments or documents to be delivered in connection herewith and with respect to advising the Agent and the Purchasers as to their rights and responsibilities hereunder and thereunder.</w:t>
      </w:r>
    </w:p>
    <w:p>
      <w:pPr>
        <w:spacing w:after="0" w:line="155"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SECTION 5. Reference to and Effect on the Purchase Agreement.</w:t>
      </w:r>
    </w:p>
    <w:p>
      <w:pPr>
        <w:spacing w:after="0" w:line="183" w:lineRule="exact"/>
        <w:rPr>
          <w:sz w:val="20"/>
          <w:szCs w:val="20"/>
          <w:color w:val="auto"/>
        </w:rPr>
      </w:pPr>
    </w:p>
    <w:p>
      <w:pPr>
        <w:ind w:right="2779" w:firstLine="1112"/>
        <w:spacing w:after="0" w:line="236" w:lineRule="auto"/>
        <w:tabs>
          <w:tab w:leader="none" w:pos="148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effectiveness of this Amendment, each reference in the Purchase Agreement to "this Agreement," "hereunder," "hereof," "herein," "hereby" or words of like import shall mean and be a reference to the Purchase Agreement as amended hereby, and each reference to the Purchase Agreement in any other document, instrument or agreement executed and/or delivered in connection with the Purchase Agreement shall mean and be a reference to the Purchase Agreement as amended hereby.</w:t>
      </w:r>
    </w:p>
    <w:p>
      <w:pPr>
        <w:spacing w:after="0" w:line="183" w:lineRule="exact"/>
        <w:rPr>
          <w:rFonts w:ascii="Courier New" w:cs="Courier New" w:eastAsia="Courier New" w:hAnsi="Courier New"/>
          <w:sz w:val="16"/>
          <w:szCs w:val="16"/>
          <w:color w:val="auto"/>
        </w:rPr>
      </w:pPr>
    </w:p>
    <w:p>
      <w:pPr>
        <w:ind w:right="3059" w:firstLine="1112"/>
        <w:spacing w:after="0" w:line="235" w:lineRule="auto"/>
        <w:tabs>
          <w:tab w:leader="none" w:pos="148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amended hereby, the Purchase Agreement and other documents, instruments and agreements executed and/or delivered in connection therewith shall remain in full force and effect and are hereby ratified and confirmed.</w:t>
      </w:r>
    </w:p>
    <w:p>
      <w:pPr>
        <w:spacing w:after="0" w:line="184" w:lineRule="exact"/>
        <w:rPr>
          <w:rFonts w:ascii="Courier New" w:cs="Courier New" w:eastAsia="Courier New" w:hAnsi="Courier New"/>
          <w:sz w:val="16"/>
          <w:szCs w:val="16"/>
          <w:color w:val="auto"/>
        </w:rPr>
      </w:pPr>
    </w:p>
    <w:p>
      <w:pPr>
        <w:ind w:right="2879" w:firstLine="1112"/>
        <w:spacing w:after="0" w:line="235" w:lineRule="auto"/>
        <w:tabs>
          <w:tab w:leader="none" w:pos="148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effectiveness of this Amendment shall not operate as a waiver of any right, power or remedy of any Purchaser or the Agent under the Purchase Agreement or any of the other Transaction Documents, nor constitute a waiver of any provision contained therein.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4" w:right="1440" w:bottom="1440" w:gutter="0" w:footer="0" w:header="0"/>
        </w:sectPr>
      </w:pPr>
    </w:p>
    <w:bookmarkStart w:id="136" w:name="page137"/>
    <w:bookmarkEnd w:id="136"/>
    <w:p>
      <w:pPr>
        <w:ind w:right="2779" w:firstLine="1116"/>
        <w:spacing w:after="0" w:line="235" w:lineRule="auto"/>
        <w:rPr>
          <w:sz w:val="20"/>
          <w:szCs w:val="20"/>
          <w:color w:val="auto"/>
        </w:rPr>
      </w:pPr>
      <w:r>
        <w:rPr>
          <w:rFonts w:ascii="Courier New" w:cs="Courier New" w:eastAsia="Courier New" w:hAnsi="Courier New"/>
          <w:sz w:val="16"/>
          <w:szCs w:val="16"/>
          <w:color w:val="auto"/>
        </w:rPr>
        <w:t>SECTION 6. GOVERNING LAW. THIS AMENDMENT SHALL BE GOVERNED AND CONSTRUED IN ACCORDANCE WITH THE INTERNAL LAWS OF THE STATE OF ILLINOIS (INCLUDING, BUT NOT LIMITED TO, 735 ILCS SECTION 105/5-1 ET. SEQ., BUT OTHERWISE WITHOUT REGARD TO CONFLICT OF LAW PROVISIONS).</w:t>
      </w:r>
    </w:p>
    <w:p>
      <w:pPr>
        <w:spacing w:after="0" w:line="185" w:lineRule="exact"/>
        <w:rPr>
          <w:sz w:val="20"/>
          <w:szCs w:val="20"/>
          <w:color w:val="auto"/>
        </w:rPr>
      </w:pPr>
    </w:p>
    <w:p>
      <w:pPr>
        <w:ind w:right="2779" w:firstLine="1116"/>
        <w:spacing w:after="0" w:line="235" w:lineRule="auto"/>
        <w:rPr>
          <w:sz w:val="20"/>
          <w:szCs w:val="20"/>
          <w:color w:val="auto"/>
        </w:rPr>
      </w:pPr>
      <w:r>
        <w:rPr>
          <w:rFonts w:ascii="Courier New" w:cs="Courier New" w:eastAsia="Courier New" w:hAnsi="Courier New"/>
          <w:sz w:val="16"/>
          <w:szCs w:val="16"/>
          <w:color w:val="auto"/>
        </w:rPr>
        <w:t>SECTION 7. Execution in Counterparts. This Amendment may be executed in any number of counterparts and by different parties hereto in separate counterparts, each of which when so executed and delivered shall be deemed to be an original and all of which taken together shall constitute but one and the same instrument.</w:t>
      </w:r>
    </w:p>
    <w:p>
      <w:pPr>
        <w:spacing w:after="0" w:line="186" w:lineRule="exact"/>
        <w:rPr>
          <w:sz w:val="20"/>
          <w:szCs w:val="20"/>
          <w:color w:val="auto"/>
        </w:rPr>
      </w:pPr>
    </w:p>
    <w:p>
      <w:pPr>
        <w:jc w:val="both"/>
        <w:ind w:right="2779" w:firstLine="1116"/>
        <w:spacing w:after="0" w:line="235" w:lineRule="auto"/>
        <w:rPr>
          <w:sz w:val="20"/>
          <w:szCs w:val="20"/>
          <w:color w:val="auto"/>
        </w:rPr>
      </w:pPr>
      <w:r>
        <w:rPr>
          <w:rFonts w:ascii="Courier New" w:cs="Courier New" w:eastAsia="Courier New" w:hAnsi="Courier New"/>
          <w:sz w:val="16"/>
          <w:szCs w:val="16"/>
          <w:color w:val="auto"/>
        </w:rPr>
        <w:t>SECTION 8. Headings. Section headings in this Amendment are included herein for convenience of reference only and shall not constitute a part of this Amendment for any other purpose.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137" w:name="page138"/>
    <w:bookmarkEnd w:id="137"/>
    <w:p>
      <w:pPr>
        <w:ind w:right="2779" w:firstLine="1116"/>
        <w:spacing w:after="0" w:line="235" w:lineRule="auto"/>
        <w:rPr>
          <w:sz w:val="20"/>
          <w:szCs w:val="20"/>
          <w:color w:val="auto"/>
        </w:rPr>
      </w:pPr>
      <w:r>
        <w:rPr>
          <w:rFonts w:ascii="Courier New" w:cs="Courier New" w:eastAsia="Courier New" w:hAnsi="Courier New"/>
          <w:sz w:val="16"/>
          <w:szCs w:val="16"/>
          <w:color w:val="auto"/>
        </w:rPr>
        <w:t>IN WITNESS WHEREOF, the parties hereto have caused this Amendment to be executed on the date first set forth above by their respective officers thereto duly authorized, to be effective as hereinabove provided.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LPAC CORP. II, as Seller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By:_______________________</w:t>
      </w:r>
    </w:p>
    <w:p>
      <w:pPr>
        <w:ind w:left="3800"/>
        <w:spacing w:after="0" w:line="236" w:lineRule="auto"/>
        <w:rPr>
          <w:sz w:val="20"/>
          <w:szCs w:val="20"/>
          <w:color w:val="auto"/>
        </w:rPr>
      </w:pPr>
      <w:r>
        <w:rPr>
          <w:rFonts w:ascii="Courier New" w:cs="Courier New" w:eastAsia="Courier New" w:hAnsi="Courier New"/>
          <w:sz w:val="16"/>
          <w:szCs w:val="16"/>
          <w:color w:val="auto"/>
        </w:rPr>
        <w:t>Name:</w:t>
      </w:r>
    </w:p>
    <w:p>
      <w:pPr>
        <w:ind w:left="3800"/>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LENNOX INDUSTRIES INC., as Servicer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By:_______________________</w:t>
      </w:r>
    </w:p>
    <w:p>
      <w:pPr>
        <w:ind w:left="3540"/>
        <w:spacing w:after="0" w:line="236" w:lineRule="auto"/>
        <w:rPr>
          <w:sz w:val="20"/>
          <w:szCs w:val="20"/>
          <w:color w:val="auto"/>
        </w:rPr>
      </w:pPr>
      <w:r>
        <w:rPr>
          <w:rFonts w:ascii="Courier New" w:cs="Courier New" w:eastAsia="Courier New" w:hAnsi="Courier New"/>
          <w:sz w:val="16"/>
          <w:szCs w:val="16"/>
          <w:color w:val="auto"/>
        </w:rPr>
        <w:t>Name:</w:t>
      </w:r>
    </w:p>
    <w:p>
      <w:pPr>
        <w:jc w:val="center"/>
        <w:ind w:right="2599"/>
        <w:spacing w:after="0" w:line="237" w:lineRule="auto"/>
        <w:rPr>
          <w:sz w:val="20"/>
          <w:szCs w:val="20"/>
          <w:color w:val="auto"/>
        </w:rPr>
      </w:pPr>
      <w:r>
        <w:rPr>
          <w:rFonts w:ascii="Courier New" w:cs="Courier New" w:eastAsia="Courier New" w:hAnsi="Courier New"/>
          <w:sz w:val="16"/>
          <w:szCs w:val="16"/>
          <w:color w:val="auto"/>
        </w:rPr>
        <w:t>Title:</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Signature Page to Amendment No. 2 to Receivables Purchase Agreement</w:t>
      </w:r>
    </w:p>
    <w:p>
      <w:pPr>
        <w:sectPr>
          <w:pgSz w:w="11900" w:h="16838" w:orient="portrait"/>
          <w:cols w:equalWidth="0" w:num="1">
            <w:col w:w="10219"/>
          </w:cols>
          <w:pgMar w:left="240" w:top="655" w:right="1440" w:bottom="1440" w:gutter="0" w:footer="0" w:header="0"/>
        </w:sectPr>
      </w:pPr>
    </w:p>
    <w:bookmarkStart w:id="138" w:name="page139"/>
    <w:bookmarkEnd w:id="138"/>
    <w:p>
      <w:pPr>
        <w:ind w:left="2900"/>
        <w:spacing w:after="0"/>
        <w:rPr>
          <w:sz w:val="20"/>
          <w:szCs w:val="20"/>
          <w:color w:val="auto"/>
        </w:rPr>
      </w:pPr>
      <w:r>
        <w:rPr>
          <w:rFonts w:ascii="Courier New" w:cs="Courier New" w:eastAsia="Courier New" w:hAnsi="Courier New"/>
          <w:sz w:val="16"/>
          <w:szCs w:val="16"/>
          <w:color w:val="auto"/>
        </w:rPr>
        <w:t>JUPITER SECURITIZATION CORPORATION</w:t>
      </w:r>
    </w:p>
    <w:p>
      <w:pPr>
        <w:spacing w:after="0" w:line="1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By:_________________________________</w:t>
      </w:r>
    </w:p>
    <w:p>
      <w:pPr>
        <w:ind w:left="2900"/>
        <w:spacing w:after="0" w:line="236" w:lineRule="auto"/>
        <w:rPr>
          <w:sz w:val="20"/>
          <w:szCs w:val="20"/>
          <w:color w:val="auto"/>
        </w:rPr>
      </w:pPr>
      <w:r>
        <w:rPr>
          <w:rFonts w:ascii="Courier New" w:cs="Courier New" w:eastAsia="Courier New" w:hAnsi="Courier New"/>
          <w:sz w:val="16"/>
          <w:szCs w:val="16"/>
          <w:color w:val="auto"/>
        </w:rPr>
        <w:t>Name: Maureen Marcon</w:t>
      </w:r>
    </w:p>
    <w:p>
      <w:pPr>
        <w:ind w:left="2900"/>
        <w:spacing w:after="0" w:line="237" w:lineRule="auto"/>
        <w:rPr>
          <w:sz w:val="20"/>
          <w:szCs w:val="20"/>
          <w:color w:val="auto"/>
        </w:rPr>
      </w:pPr>
      <w:r>
        <w:rPr>
          <w:rFonts w:ascii="Courier New" w:cs="Courier New" w:eastAsia="Courier New" w:hAnsi="Courier New"/>
          <w:sz w:val="16"/>
          <w:szCs w:val="16"/>
          <w:color w:val="auto"/>
        </w:rPr>
        <w:t>Title: Authorized Signatory</w:t>
      </w:r>
    </w:p>
    <w:p>
      <w:pPr>
        <w:spacing w:after="0" w:line="1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BANK ONE, NA (MAIN OFFICE CHICAGO),</w:t>
      </w:r>
    </w:p>
    <w:p>
      <w:pPr>
        <w:jc w:val="right"/>
        <w:ind w:right="2779"/>
        <w:spacing w:after="0" w:line="236" w:lineRule="auto"/>
        <w:rPr>
          <w:sz w:val="20"/>
          <w:szCs w:val="20"/>
          <w:color w:val="auto"/>
        </w:rPr>
      </w:pPr>
      <w:r>
        <w:rPr>
          <w:rFonts w:ascii="Courier New" w:cs="Courier New" w:eastAsia="Courier New" w:hAnsi="Courier New"/>
          <w:sz w:val="16"/>
          <w:szCs w:val="16"/>
          <w:color w:val="auto"/>
        </w:rPr>
        <w:t>as a Financial Institution and as Agent</w:t>
      </w:r>
    </w:p>
    <w:p>
      <w:pPr>
        <w:spacing w:after="0" w:line="1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By:_______________________</w:t>
      </w:r>
    </w:p>
    <w:p>
      <w:pPr>
        <w:ind w:left="3160"/>
        <w:spacing w:after="0" w:line="236" w:lineRule="auto"/>
        <w:rPr>
          <w:sz w:val="20"/>
          <w:szCs w:val="20"/>
          <w:color w:val="auto"/>
        </w:rPr>
      </w:pPr>
      <w:r>
        <w:rPr>
          <w:rFonts w:ascii="Courier New" w:cs="Courier New" w:eastAsia="Courier New" w:hAnsi="Courier New"/>
          <w:sz w:val="16"/>
          <w:szCs w:val="16"/>
          <w:color w:val="auto"/>
        </w:rPr>
        <w:t>Name: Maureen Marcon</w:t>
      </w:r>
    </w:p>
    <w:p>
      <w:pPr>
        <w:ind w:left="3160"/>
        <w:spacing w:after="0" w:line="237" w:lineRule="auto"/>
        <w:rPr>
          <w:sz w:val="20"/>
          <w:szCs w:val="20"/>
          <w:color w:val="auto"/>
        </w:rPr>
      </w:pPr>
      <w:r>
        <w:rPr>
          <w:rFonts w:ascii="Courier New" w:cs="Courier New" w:eastAsia="Courier New" w:hAnsi="Courier New"/>
          <w:sz w:val="16"/>
          <w:szCs w:val="16"/>
          <w:color w:val="auto"/>
        </w:rPr>
        <w:t>Title: Director, Capital Markets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to Amendment No. 2 to Receivables Purchase Agreement</w:t>
      </w:r>
    </w:p>
    <w:p>
      <w:pPr>
        <w:sectPr>
          <w:pgSz w:w="11900" w:h="16838" w:orient="portrait"/>
          <w:cols w:equalWidth="0" w:num="1">
            <w:col w:w="9579"/>
          </w:cols>
          <w:pgMar w:left="880" w:top="648" w:right="1440" w:bottom="1440" w:gutter="0" w:footer="0" w:header="0"/>
        </w:sectPr>
      </w:pPr>
    </w:p>
    <w:bookmarkStart w:id="139" w:name="page140"/>
    <w:bookmarkEnd w:id="139"/>
    <w:p>
      <w:pPr>
        <w:ind w:left="6325"/>
        <w:spacing w:after="0"/>
        <w:rPr>
          <w:sz w:val="20"/>
          <w:szCs w:val="20"/>
          <w:color w:val="auto"/>
        </w:rPr>
      </w:pPr>
      <w:r>
        <w:rPr>
          <w:rFonts w:ascii="Courier New" w:cs="Courier New" w:eastAsia="Courier New" w:hAnsi="Courier New"/>
          <w:sz w:val="16"/>
          <w:szCs w:val="16"/>
          <w:color w:val="auto"/>
        </w:rPr>
        <w:t>Exhibit 12.1</w:t>
      </w:r>
    </w:p>
    <w:p>
      <w:pPr>
        <w:spacing w:after="0" w:line="355" w:lineRule="exact"/>
        <w:rPr>
          <w:sz w:val="20"/>
          <w:szCs w:val="20"/>
          <w:color w:val="auto"/>
        </w:rPr>
      </w:pPr>
    </w:p>
    <w:p>
      <w:pPr>
        <w:jc w:val="center"/>
        <w:ind w:right="4075"/>
        <w:spacing w:after="0"/>
        <w:rPr>
          <w:sz w:val="20"/>
          <w:szCs w:val="20"/>
          <w:color w:val="auto"/>
        </w:rPr>
      </w:pPr>
      <w:r>
        <w:rPr>
          <w:rFonts w:ascii="Courier New" w:cs="Courier New" w:eastAsia="Courier New" w:hAnsi="Courier New"/>
          <w:sz w:val="16"/>
          <w:szCs w:val="16"/>
          <w:color w:val="auto"/>
        </w:rPr>
        <w:t>LENNOX INTERNATIONAL INC. AND SUBSIDIARIES</w:t>
      </w:r>
    </w:p>
    <w:p>
      <w:pPr>
        <w:jc w:val="center"/>
        <w:ind w:right="3975"/>
        <w:spacing w:after="0" w:line="236" w:lineRule="auto"/>
        <w:rPr>
          <w:sz w:val="20"/>
          <w:szCs w:val="20"/>
          <w:color w:val="auto"/>
        </w:rPr>
      </w:pPr>
      <w:r>
        <w:rPr>
          <w:rFonts w:ascii="Courier New" w:cs="Courier New" w:eastAsia="Courier New" w:hAnsi="Courier New"/>
          <w:sz w:val="16"/>
          <w:szCs w:val="16"/>
          <w:color w:val="auto"/>
        </w:rPr>
        <w:t>COMPUTATION OF RATIO OF EARNINGS TO FIXED CHARGES</w:t>
      </w:r>
    </w:p>
    <w:p>
      <w:pPr>
        <w:jc w:val="center"/>
        <w:ind w:right="397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60" w:type="dxa"/>
            <w:vAlign w:val="bottom"/>
            <w:gridSpan w:val="5"/>
          </w:tcPr>
          <w:p>
            <w:pPr>
              <w:jc w:val="right"/>
              <w:ind w:right="122"/>
              <w:spacing w:after="0"/>
              <w:rPr>
                <w:sz w:val="20"/>
                <w:szCs w:val="20"/>
                <w:color w:val="auto"/>
              </w:rPr>
            </w:pPr>
            <w:r>
              <w:rPr>
                <w:rFonts w:ascii="Courier New" w:cs="Courier New" w:eastAsia="Courier New" w:hAnsi="Courier New"/>
                <w:sz w:val="16"/>
                <w:szCs w:val="16"/>
                <w:color w:val="auto"/>
              </w:rPr>
              <w:t>FOR THE YEARS ENDED DECEMBER 31,</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560" w:type="dxa"/>
            <w:vAlign w:val="bottom"/>
          </w:tcPr>
          <w:p>
            <w:pPr>
              <w:spacing w:after="0"/>
              <w:rPr>
                <w:sz w:val="15"/>
                <w:szCs w:val="15"/>
                <w:color w:val="auto"/>
              </w:rPr>
            </w:pPr>
          </w:p>
        </w:tc>
        <w:tc>
          <w:tcPr>
            <w:tcW w:w="6960" w:type="dxa"/>
            <w:vAlign w:val="bottom"/>
            <w:gridSpan w:val="10"/>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RESTATED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(In millions, except ratio)</w:t>
            </w:r>
          </w:p>
        </w:tc>
        <w:tc>
          <w:tcPr>
            <w:tcW w:w="1340" w:type="dxa"/>
            <w:vAlign w:val="bottom"/>
          </w:tcPr>
          <w:p>
            <w:pPr>
              <w:spacing w:after="0"/>
              <w:rPr>
                <w:sz w:val="15"/>
                <w:szCs w:val="15"/>
                <w:color w:val="auto"/>
              </w:rPr>
            </w:pP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2003</w:t>
            </w:r>
          </w:p>
        </w:tc>
        <w:tc>
          <w:tcPr>
            <w:tcW w:w="220" w:type="dxa"/>
            <w:vAlign w:val="bottom"/>
          </w:tcPr>
          <w:p>
            <w:pPr>
              <w:spacing w:after="0"/>
              <w:rPr>
                <w:sz w:val="15"/>
                <w:szCs w:val="15"/>
                <w:color w:val="auto"/>
              </w:rPr>
            </w:pP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2002</w:t>
            </w:r>
          </w:p>
        </w:tc>
        <w:tc>
          <w:tcPr>
            <w:tcW w:w="240" w:type="dxa"/>
            <w:vAlign w:val="bottom"/>
          </w:tcPr>
          <w:p>
            <w:pPr>
              <w:spacing w:after="0"/>
              <w:rPr>
                <w:sz w:val="15"/>
                <w:szCs w:val="15"/>
                <w:color w:val="auto"/>
              </w:rPr>
            </w:pP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8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340" w:type="dxa"/>
            <w:vAlign w:val="bottom"/>
          </w:tcPr>
          <w:p>
            <w:pPr>
              <w:spacing w:after="0"/>
              <w:rPr>
                <w:sz w:val="15"/>
                <w:szCs w:val="15"/>
                <w:color w:val="auto"/>
              </w:rPr>
            </w:pP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537"/>
        </w:trPr>
        <w:tc>
          <w:tcPr>
            <w:tcW w:w="4560" w:type="dxa"/>
            <w:vAlign w:val="bottom"/>
          </w:tcPr>
          <w:p>
            <w:pPr>
              <w:spacing w:after="0"/>
              <w:rPr>
                <w:sz w:val="20"/>
                <w:szCs w:val="20"/>
                <w:color w:val="auto"/>
              </w:rPr>
            </w:pPr>
            <w:r>
              <w:rPr>
                <w:rFonts w:ascii="Courier New" w:cs="Courier New" w:eastAsia="Courier New" w:hAnsi="Courier New"/>
                <w:sz w:val="16"/>
                <w:szCs w:val="16"/>
                <w:color w:val="auto"/>
              </w:rPr>
              <w:t>EARNINGS AS DEFINED:</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w w:val="98"/>
              </w:rPr>
              <w:t>Income (loss)  before  income taxes,  cumulative</w:t>
            </w:r>
          </w:p>
        </w:tc>
        <w:tc>
          <w:tcPr>
            <w:tcW w:w="13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effect</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9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of accounting  change, minority interest and income</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or loss from equity investees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126.5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74.4</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100.6</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123.1</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69.2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48.7</w:t>
            </w:r>
          </w:p>
        </w:tc>
      </w:tr>
      <w:tr>
        <w:trPr>
          <w:trHeight w:val="179"/>
        </w:trPr>
        <w:tc>
          <w:tcPr>
            <w:tcW w:w="4560" w:type="dxa"/>
            <w:vAlign w:val="bottom"/>
          </w:tcPr>
          <w:p>
            <w:pPr>
              <w:spacing w:after="0"/>
              <w:rPr>
                <w:sz w:val="15"/>
                <w:szCs w:val="15"/>
                <w:color w:val="auto"/>
              </w:rPr>
            </w:pPr>
          </w:p>
        </w:tc>
        <w:tc>
          <w:tcPr>
            <w:tcW w:w="22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Earnings as defined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178.4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133.9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182.3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171.8</w:t>
            </w:r>
          </w:p>
        </w:tc>
      </w:tr>
      <w:tr>
        <w:trPr>
          <w:trHeight w:val="179"/>
        </w:trPr>
        <w:tc>
          <w:tcPr>
            <w:tcW w:w="4560" w:type="dxa"/>
            <w:vAlign w:val="bottom"/>
          </w:tcPr>
          <w:p>
            <w:pPr>
              <w:spacing w:after="0"/>
              <w:rPr>
                <w:sz w:val="15"/>
                <w:szCs w:val="15"/>
                <w:color w:val="auto"/>
              </w:rPr>
            </w:pPr>
          </w:p>
        </w:tc>
        <w:tc>
          <w:tcPr>
            <w:tcW w:w="22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FIXED CHARGES AS DEFINED:</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Interest expense, including amortization of</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deferred finance charges</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32.0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45.9</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59.3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35.9</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Portion of rental expense representative of the</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interest factor</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12.8</w:t>
            </w:r>
          </w:p>
        </w:tc>
      </w:tr>
      <w:tr>
        <w:trPr>
          <w:trHeight w:val="179"/>
        </w:trPr>
        <w:tc>
          <w:tcPr>
            <w:tcW w:w="4560" w:type="dxa"/>
            <w:vAlign w:val="bottom"/>
          </w:tcPr>
          <w:p>
            <w:pPr>
              <w:spacing w:after="0"/>
              <w:rPr>
                <w:sz w:val="15"/>
                <w:szCs w:val="15"/>
                <w:color w:val="auto"/>
              </w:rPr>
            </w:pPr>
          </w:p>
        </w:tc>
        <w:tc>
          <w:tcPr>
            <w:tcW w:w="22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Fixed charges as defined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69.2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81.7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48.7</w:t>
            </w:r>
          </w:p>
        </w:tc>
      </w:tr>
      <w:tr>
        <w:trPr>
          <w:trHeight w:val="179"/>
        </w:trPr>
        <w:tc>
          <w:tcPr>
            <w:tcW w:w="4560" w:type="dxa"/>
            <w:vAlign w:val="bottom"/>
          </w:tcPr>
          <w:p>
            <w:pPr>
              <w:spacing w:after="0"/>
              <w:rPr>
                <w:sz w:val="15"/>
                <w:szCs w:val="15"/>
                <w:color w:val="auto"/>
              </w:rPr>
            </w:pPr>
          </w:p>
        </w:tc>
        <w:tc>
          <w:tcPr>
            <w:tcW w:w="22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 (1)</w:t>
            </w:r>
          </w:p>
        </w:tc>
        <w:tc>
          <w:tcPr>
            <w:tcW w:w="1340" w:type="dxa"/>
            <w:vAlign w:val="bottom"/>
          </w:tcPr>
          <w:p>
            <w:pPr>
              <w:spacing w:after="0"/>
              <w:rPr>
                <w:sz w:val="24"/>
                <w:szCs w:val="24"/>
                <w:color w:val="auto"/>
              </w:rPr>
            </w:pP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3.44</w:t>
            </w:r>
          </w:p>
        </w:tc>
        <w:tc>
          <w:tcPr>
            <w:tcW w:w="220" w:type="dxa"/>
            <w:vAlign w:val="bottom"/>
          </w:tcPr>
          <w:p>
            <w:pPr>
              <w:spacing w:after="0"/>
              <w:rPr>
                <w:sz w:val="24"/>
                <w:szCs w:val="24"/>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2.25</w:t>
            </w:r>
          </w:p>
        </w:tc>
        <w:tc>
          <w:tcPr>
            <w:tcW w:w="240" w:type="dxa"/>
            <w:vAlign w:val="bottom"/>
          </w:tcPr>
          <w:p>
            <w:pPr>
              <w:spacing w:after="0"/>
              <w:rPr>
                <w:sz w:val="24"/>
                <w:szCs w:val="24"/>
                <w:color w:val="auto"/>
              </w:rPr>
            </w:pPr>
          </w:p>
        </w:tc>
        <w:tc>
          <w:tcPr>
            <w:tcW w:w="9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2.23</w:t>
            </w:r>
          </w:p>
        </w:tc>
        <w:tc>
          <w:tcPr>
            <w:tcW w:w="22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3.53</w:t>
            </w:r>
          </w:p>
        </w:tc>
      </w:tr>
      <w:tr>
        <w:trPr>
          <w:trHeight w:val="179"/>
        </w:trPr>
        <w:tc>
          <w:tcPr>
            <w:tcW w:w="4560" w:type="dxa"/>
            <w:vAlign w:val="bottom"/>
          </w:tcPr>
          <w:p>
            <w:pPr>
              <w:spacing w:after="0"/>
              <w:rPr>
                <w:sz w:val="15"/>
                <w:szCs w:val="15"/>
                <w:color w:val="auto"/>
              </w:rPr>
            </w:pPr>
          </w:p>
        </w:tc>
        <w:tc>
          <w:tcPr>
            <w:tcW w:w="22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645" w:right="4080" w:hanging="645"/>
        <w:spacing w:after="0" w:line="235" w:lineRule="auto"/>
        <w:tabs>
          <w:tab w:leader="none" w:pos="64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restructuring charges in 2001 of $73.2 million (of which $7.8 million was included in cost of goods sold), additional earnings of $44.3 million would have been necessary to cover fixed charges.</w:t>
      </w:r>
    </w:p>
    <w:p>
      <w:pPr>
        <w:sectPr>
          <w:pgSz w:w="11900" w:h="16838" w:orient="portrait"/>
          <w:cols w:equalWidth="0" w:num="1">
            <w:col w:w="11525"/>
          </w:cols>
          <w:pgMar w:left="235" w:top="314" w:right="139" w:bottom="1440" w:gutter="0" w:footer="0" w:header="0"/>
        </w:sectPr>
      </w:pPr>
    </w:p>
    <w:bookmarkStart w:id="140" w:name="page141"/>
    <w:bookmarkEnd w:id="140"/>
    <w:p>
      <w:pPr>
        <w:ind w:left="6600"/>
        <w:spacing w:after="0"/>
        <w:rPr>
          <w:sz w:val="20"/>
          <w:szCs w:val="20"/>
          <w:color w:val="auto"/>
        </w:rPr>
      </w:pPr>
      <w:r>
        <w:rPr>
          <w:rFonts w:ascii="Courier New" w:cs="Courier New" w:eastAsia="Courier New" w:hAnsi="Courier New"/>
          <w:sz w:val="16"/>
          <w:szCs w:val="16"/>
          <w:color w:val="auto"/>
        </w:rPr>
        <w:t>.</w:t>
      </w:r>
    </w:p>
    <w:p>
      <w:pPr>
        <w:ind w:left="6600"/>
        <w:spacing w:after="0" w:line="236" w:lineRule="auto"/>
        <w:rPr>
          <w:sz w:val="20"/>
          <w:szCs w:val="20"/>
          <w:color w:val="auto"/>
        </w:rPr>
      </w:pPr>
      <w:r>
        <w:rPr>
          <w:rFonts w:ascii="Courier New" w:cs="Courier New" w:eastAsia="Courier New" w:hAnsi="Courier New"/>
          <w:sz w:val="16"/>
          <w:szCs w:val="16"/>
          <w:color w:val="auto"/>
        </w:rPr>
        <w:t>.</w:t>
      </w:r>
    </w:p>
    <w:p>
      <w:pPr>
        <w:ind w:left="6600"/>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LENNOX INTERNATIONAL INC. SUBSIDIARIES</w:t>
      </w:r>
    </w:p>
    <w:p>
      <w:pPr>
        <w:ind w:left="1960"/>
        <w:spacing w:after="0" w:line="236" w:lineRule="auto"/>
        <w:rPr>
          <w:sz w:val="20"/>
          <w:szCs w:val="20"/>
          <w:color w:val="auto"/>
        </w:rPr>
      </w:pPr>
      <w:r>
        <w:rPr>
          <w:rFonts w:ascii="Courier New" w:cs="Courier New" w:eastAsia="Courier New" w:hAnsi="Courier New"/>
          <w:sz w:val="16"/>
          <w:szCs w:val="16"/>
          <w:color w:val="auto"/>
        </w:rPr>
        <w:t>AS OF DECEMBER 31, 2003</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OWNERSHIP</w:t>
            </w:r>
          </w:p>
        </w:tc>
        <w:tc>
          <w:tcPr>
            <w:tcW w:w="2700" w:type="dxa"/>
            <w:vAlign w:val="bottom"/>
          </w:tcPr>
          <w:p>
            <w:pPr>
              <w:ind w:left="840"/>
              <w:spacing w:after="0"/>
              <w:rPr>
                <w:sz w:val="20"/>
                <w:szCs w:val="20"/>
                <w:color w:val="auto"/>
              </w:rPr>
            </w:pPr>
            <w:r>
              <w:rPr>
                <w:rFonts w:ascii="Courier New" w:cs="Courier New" w:eastAsia="Courier New" w:hAnsi="Courier New"/>
                <w:sz w:val="16"/>
                <w:szCs w:val="16"/>
                <w:color w:val="auto"/>
                <w:w w:val="95"/>
              </w:rPr>
              <w:t>JURISDICTION OF INC.</w:t>
            </w:r>
          </w:p>
        </w:tc>
      </w:tr>
      <w:tr>
        <w:trPr>
          <w:trHeight w:val="179"/>
        </w:trPr>
        <w:tc>
          <w:tcPr>
            <w:tcW w:w="438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27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Lennox Industries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Iowa</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SEE ANNEX A</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Heatcraft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Mississippi</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Bohn de Mexico S.A. de C.V.</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Mexico</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Frigus-Bohn S.A. de C.V.</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Mexico</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LGL de Mexico, S.A. de C.V.</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Mexico</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Participacoes Ltda.</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Brazil</w:t>
            </w:r>
          </w:p>
        </w:tc>
      </w:tr>
      <w:tr>
        <w:trPr>
          <w:trHeight w:val="179"/>
        </w:trPr>
        <w:tc>
          <w:tcPr>
            <w:tcW w:w="43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Frigo-Bohn do Brasil Ltda.</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99%</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Brazil</w:t>
            </w:r>
          </w:p>
        </w:tc>
      </w:tr>
      <w:tr>
        <w:trPr>
          <w:trHeight w:val="179"/>
        </w:trPr>
        <w:tc>
          <w:tcPr>
            <w:tcW w:w="438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Heatcraft do Brasil Ltda.</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Brazil</w:t>
            </w:r>
          </w:p>
        </w:tc>
      </w:tr>
      <w:tr>
        <w:trPr>
          <w:trHeight w:val="179"/>
        </w:trPr>
        <w:tc>
          <w:tcPr>
            <w:tcW w:w="438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SIWA S.A.</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Uruguay</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Advanced Distributor Products 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Heatcraft Refrigeration Products 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Advanced Heat Transfer 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Outokumpu Heatcraft USA 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45%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Outokumpu Livernois Engineering</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9"/>
        </w:trPr>
        <w:tc>
          <w:tcPr>
            <w:tcW w:w="438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45%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Outokumpu Heatcraft de</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9"/>
        </w:trPr>
        <w:tc>
          <w:tcPr>
            <w:tcW w:w="4380" w:type="dxa"/>
            <w:vAlign w:val="bottom"/>
          </w:tcPr>
          <w:p>
            <w:pPr>
              <w:ind w:left="1680"/>
              <w:spacing w:after="0" w:line="179" w:lineRule="exact"/>
              <w:rPr>
                <w:sz w:val="20"/>
                <w:szCs w:val="20"/>
                <w:color w:val="auto"/>
              </w:rPr>
            </w:pPr>
            <w:r>
              <w:rPr>
                <w:rFonts w:ascii="Courier New" w:cs="Courier New" w:eastAsia="Courier New" w:hAnsi="Courier New"/>
                <w:sz w:val="16"/>
                <w:szCs w:val="16"/>
                <w:color w:val="auto"/>
              </w:rPr>
              <w:t>Mexico, S. De R.L. de C.V.</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0.04%</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Mexico</w:t>
            </w:r>
          </w:p>
        </w:tc>
      </w:tr>
      <w:tr>
        <w:trPr>
          <w:trHeight w:val="179"/>
        </w:trPr>
        <w:tc>
          <w:tcPr>
            <w:tcW w:w="43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Outokumpu Heatcraft de Mexico, S.</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9"/>
        </w:trPr>
        <w:tc>
          <w:tcPr>
            <w:tcW w:w="438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De R.L. de C.V.</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99.96%</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Mexico</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Armstrong Air Conditioning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Ohio</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JKS Co.</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Nebraska</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Armstrong Distributors Inc.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 II</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Heatcraft Technologies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Alliance Compressor LLC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24.5%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80%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 II</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85%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Excel Comfort Systems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LPAC Corp. II</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5%</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Allied Air Enterprises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Delaware</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Service Experts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SEE ANNEX B</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Inc.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179"/>
        </w:trPr>
        <w:tc>
          <w:tcPr>
            <w:tcW w:w="438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Canada Inc.</w:t>
            </w:r>
          </w:p>
        </w:tc>
        <w:tc>
          <w:tcPr>
            <w:tcW w:w="1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179"/>
        </w:trPr>
        <w:tc>
          <w:tcPr>
            <w:tcW w:w="438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SEE ANNEX C</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National Air Systems Inc.</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California</w:t>
            </w: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Lennox Global Ltd.</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SEE ANNEX D</w:t>
            </w:r>
          </w:p>
        </w:tc>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58"/>
        </w:trPr>
        <w:tc>
          <w:tcPr>
            <w:tcW w:w="4380" w:type="dxa"/>
            <w:vAlign w:val="bottom"/>
          </w:tcPr>
          <w:p>
            <w:pPr>
              <w:spacing w:after="0"/>
              <w:rPr>
                <w:sz w:val="20"/>
                <w:szCs w:val="20"/>
                <w:color w:val="auto"/>
              </w:rPr>
            </w:pPr>
            <w:r>
              <w:rPr>
                <w:rFonts w:ascii="Courier New" w:cs="Courier New" w:eastAsia="Courier New" w:hAnsi="Courier New"/>
                <w:sz w:val="16"/>
                <w:szCs w:val="16"/>
                <w:color w:val="auto"/>
              </w:rPr>
              <w:t>Lake Park Insurance Ltd.</w:t>
            </w:r>
          </w:p>
        </w:tc>
        <w:tc>
          <w:tcPr>
            <w:tcW w:w="19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700" w:type="dxa"/>
            <w:vAlign w:val="bottom"/>
          </w:tcPr>
          <w:p>
            <w:pPr>
              <w:ind w:left="1020"/>
              <w:spacing w:after="0"/>
              <w:rPr>
                <w:sz w:val="20"/>
                <w:szCs w:val="20"/>
                <w:color w:val="auto"/>
              </w:rPr>
            </w:pPr>
            <w:r>
              <w:rPr>
                <w:rFonts w:ascii="Courier New" w:cs="Courier New" w:eastAsia="Courier New" w:hAnsi="Courier New"/>
                <w:sz w:val="16"/>
                <w:szCs w:val="16"/>
                <w:color w:val="auto"/>
              </w:rPr>
              <w:t>Bermuda</w:t>
            </w:r>
          </w:p>
        </w:tc>
      </w:tr>
    </w:tbl>
    <w:p>
      <w:pPr>
        <w:sectPr>
          <w:pgSz w:w="11900" w:h="16838" w:orient="portrait"/>
          <w:cols w:equalWidth="0" w:num="1">
            <w:col w:w="9479"/>
          </w:cols>
          <w:pgMar w:left="980" w:top="314" w:right="1440" w:bottom="1440" w:gutter="0" w:footer="0" w:header="0"/>
        </w:sectPr>
      </w:pPr>
    </w:p>
    <w:bookmarkStart w:id="141" w:name="page142"/>
    <w:bookmarkEnd w:id="141"/>
    <w:p>
      <w:pPr>
        <w:ind w:left="2240"/>
        <w:spacing w:after="0"/>
        <w:rPr>
          <w:sz w:val="20"/>
          <w:szCs w:val="20"/>
          <w:color w:val="auto"/>
        </w:rPr>
      </w:pPr>
      <w:r>
        <w:rPr>
          <w:rFonts w:ascii="Courier New" w:cs="Courier New" w:eastAsia="Courier New" w:hAnsi="Courier New"/>
          <w:sz w:val="16"/>
          <w:szCs w:val="16"/>
          <w:color w:val="auto"/>
        </w:rPr>
        <w:t>ANNEX A</w:t>
      </w:r>
    </w:p>
    <w:tbl>
      <w:tblPr>
        <w:tblLayout w:type="fixed"/>
        <w:tblInd w:w="1960" w:type="dxa"/>
        <w:tblCellMar>
          <w:top w:w="0" w:type="dxa"/>
          <w:left w:w="0" w:type="dxa"/>
          <w:bottom w:w="0" w:type="dxa"/>
          <w:right w:w="0" w:type="dxa"/>
        </w:tblCellMar>
      </w:tblP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TO</w:t>
            </w:r>
          </w:p>
        </w:tc>
        <w:tc>
          <w:tcPr>
            <w:tcW w:w="420" w:type="dxa"/>
            <w:vAlign w:val="bottom"/>
          </w:tcPr>
          <w:p>
            <w:pPr>
              <w:spacing w:after="0"/>
              <w:rPr>
                <w:sz w:val="15"/>
                <w:szCs w:val="15"/>
                <w:color w:val="auto"/>
              </w:rPr>
            </w:pPr>
          </w:p>
        </w:tc>
      </w:tr>
      <w:tr>
        <w:trPr>
          <w:trHeight w:val="179"/>
        </w:trPr>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2"/>
              </w:rPr>
              <w:t>EXHIBIT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21.1</w:t>
            </w:r>
          </w:p>
        </w:tc>
      </w:tr>
    </w:tbl>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360" w:type="dxa"/>
            <w:vAlign w:val="bottom"/>
          </w:tcPr>
          <w:p>
            <w:pPr>
              <w:ind w:left="560"/>
              <w:spacing w:after="0"/>
              <w:rPr>
                <w:sz w:val="20"/>
                <w:szCs w:val="20"/>
                <w:color w:val="auto"/>
              </w:rPr>
            </w:pPr>
            <w:r>
              <w:rPr>
                <w:rFonts w:ascii="Courier New" w:cs="Courier New" w:eastAsia="Courier New" w:hAnsi="Courier New"/>
                <w:sz w:val="16"/>
                <w:szCs w:val="16"/>
                <w:color w:val="auto"/>
              </w:rPr>
              <w:t>LENNOX INDUSTRIES INC. SUBSIDIARIES</w:t>
            </w: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894"/>
        </w:trPr>
        <w:tc>
          <w:tcPr>
            <w:tcW w:w="4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OWNERSHIP</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w w:val="95"/>
              </w:rPr>
              <w:t>JURISDICTION OF INC.</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Lennox Industries (Canada) Ltd.</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Canada</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LHP Holdings Inc.</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Hearth Products Inc.</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California</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Marcomp Inc.</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California</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LPAC Corp. II</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5%</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Cheminees Securite International Ltee</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SARL Cheminees Securite</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France</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Security Chimneys UK Limited</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UK</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Security Chimneys International</w:t>
            </w: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79"/>
        </w:trPr>
        <w:tc>
          <w:tcPr>
            <w:tcW w:w="436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USA Ltd.</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Delaware</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Products Acceptance Corporation</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Iowa</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Lennox Manufacturing Inc.</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Delaware</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LPAC Corp.</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Delaware</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Lennox Finance (No. 1) Limited Partnership</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88.9%</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Canada</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Finance (No. 2) Limited</w:t>
            </w: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Partnership</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90%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537"/>
        </w:trPr>
        <w:tc>
          <w:tcPr>
            <w:tcW w:w="4360" w:type="dxa"/>
            <w:vAlign w:val="bottom"/>
          </w:tcPr>
          <w:p>
            <w:pPr>
              <w:spacing w:after="0"/>
              <w:rPr>
                <w:sz w:val="20"/>
                <w:szCs w:val="20"/>
                <w:color w:val="auto"/>
              </w:rPr>
            </w:pPr>
            <w:r>
              <w:rPr>
                <w:rFonts w:ascii="Courier New" w:cs="Courier New" w:eastAsia="Courier New" w:hAnsi="Courier New"/>
                <w:sz w:val="16"/>
                <w:szCs w:val="16"/>
                <w:color w:val="auto"/>
              </w:rPr>
              <w:t>Lennox Finance (US) Inc.</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2180" w:type="dxa"/>
            <w:vAlign w:val="bottom"/>
          </w:tcPr>
          <w:p>
            <w:pPr>
              <w:ind w:left="3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Finance (No. 1) Limited</w:t>
            </w: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Partnership</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11.1%</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Canada</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Finance (No. 2) Limited</w:t>
            </w: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Partnership</w:t>
            </w:r>
          </w:p>
        </w:tc>
        <w:tc>
          <w:tcPr>
            <w:tcW w:w="16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10%</w:t>
            </w:r>
          </w:p>
        </w:tc>
        <w:tc>
          <w:tcPr>
            <w:tcW w:w="21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Canada</w:t>
            </w:r>
          </w:p>
        </w:tc>
      </w:tr>
    </w:tbl>
    <w:p>
      <w:pPr>
        <w:sectPr>
          <w:pgSz w:w="11900" w:h="16838" w:orient="portrait"/>
          <w:cols w:equalWidth="0" w:num="1">
            <w:col w:w="9019"/>
          </w:cols>
          <w:pgMar w:left="1440" w:top="1185" w:right="1440" w:bottom="1440" w:gutter="0" w:footer="0" w:header="0"/>
        </w:sectPr>
      </w:pPr>
    </w:p>
    <w:bookmarkStart w:id="142" w:name="page143"/>
    <w:bookmarkEnd w:id="142"/>
    <w:p>
      <w:pPr>
        <w:jc w:val="center"/>
        <w:ind w:right="2699"/>
        <w:spacing w:after="0"/>
        <w:rPr>
          <w:sz w:val="20"/>
          <w:szCs w:val="20"/>
          <w:color w:val="auto"/>
        </w:rPr>
      </w:pPr>
      <w:r>
        <w:rPr>
          <w:rFonts w:ascii="Courier New" w:cs="Courier New" w:eastAsia="Courier New" w:hAnsi="Courier New"/>
          <w:sz w:val="16"/>
          <w:szCs w:val="16"/>
          <w:color w:val="auto"/>
        </w:rPr>
        <w:t>ANNEX B</w:t>
      </w:r>
    </w:p>
    <w:p>
      <w:pPr>
        <w:jc w:val="center"/>
        <w:ind w:right="2779"/>
        <w:spacing w:after="0" w:line="236" w:lineRule="auto"/>
        <w:rPr>
          <w:sz w:val="20"/>
          <w:szCs w:val="20"/>
          <w:color w:val="auto"/>
        </w:rPr>
      </w:pPr>
      <w:r>
        <w:rPr>
          <w:rFonts w:ascii="Courier New" w:cs="Courier New" w:eastAsia="Courier New" w:hAnsi="Courier New"/>
          <w:sz w:val="16"/>
          <w:szCs w:val="16"/>
          <w:color w:val="auto"/>
        </w:rPr>
        <w:t>TO</w:t>
      </w:r>
    </w:p>
    <w:p>
      <w:pPr>
        <w:jc w:val="center"/>
        <w:ind w:right="277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SERVICE EXPERTS INC. SUBSIDIARIES</w:t>
      </w:r>
    </w:p>
    <w:p>
      <w:pPr>
        <w:spacing w:after="0" w:line="362"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The following are all organized in the state indicated and owned 100% by Service Experts Inc., unless otherwise noted: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 Frank Woods and Sons LLC - Virginia</w:t>
      </w:r>
    </w:p>
    <w:p>
      <w:pPr>
        <w:ind w:left="840"/>
        <w:spacing w:after="0" w:line="236" w:lineRule="auto"/>
        <w:rPr>
          <w:sz w:val="20"/>
          <w:szCs w:val="20"/>
          <w:color w:val="auto"/>
        </w:rPr>
      </w:pPr>
      <w:r>
        <w:rPr>
          <w:rFonts w:ascii="Courier New" w:cs="Courier New" w:eastAsia="Courier New" w:hAnsi="Courier New"/>
          <w:sz w:val="16"/>
          <w:szCs w:val="16"/>
          <w:color w:val="auto"/>
        </w:rPr>
        <w:t>AC/DAC, LLC - Tennessee</w:t>
      </w:r>
    </w:p>
    <w:p>
      <w:pPr>
        <w:ind w:left="840"/>
        <w:spacing w:after="0" w:line="237" w:lineRule="auto"/>
        <w:rPr>
          <w:sz w:val="20"/>
          <w:szCs w:val="20"/>
          <w:color w:val="auto"/>
        </w:rPr>
      </w:pPr>
      <w:r>
        <w:rPr>
          <w:rFonts w:ascii="Courier New" w:cs="Courier New" w:eastAsia="Courier New" w:hAnsi="Courier New"/>
          <w:sz w:val="16"/>
          <w:szCs w:val="16"/>
          <w:color w:val="auto"/>
        </w:rPr>
        <w:t>Air Experts LLC - Georgia</w:t>
      </w:r>
    </w:p>
    <w:p>
      <w:pPr>
        <w:ind w:left="840"/>
        <w:spacing w:after="0" w:line="237" w:lineRule="auto"/>
        <w:rPr>
          <w:sz w:val="20"/>
          <w:szCs w:val="20"/>
          <w:color w:val="auto"/>
        </w:rPr>
      </w:pPr>
      <w:r>
        <w:rPr>
          <w:rFonts w:ascii="Courier New" w:cs="Courier New" w:eastAsia="Courier New" w:hAnsi="Courier New"/>
          <w:sz w:val="16"/>
          <w:szCs w:val="16"/>
          <w:color w:val="auto"/>
        </w:rPr>
        <w:t>Air Experts LLC - Ohio</w:t>
      </w:r>
    </w:p>
    <w:p>
      <w:pPr>
        <w:ind w:left="840"/>
        <w:spacing w:after="0" w:line="237" w:lineRule="auto"/>
        <w:rPr>
          <w:sz w:val="20"/>
          <w:szCs w:val="20"/>
          <w:color w:val="auto"/>
        </w:rPr>
      </w:pPr>
      <w:r>
        <w:rPr>
          <w:rFonts w:ascii="Courier New" w:cs="Courier New" w:eastAsia="Courier New" w:hAnsi="Courier New"/>
          <w:sz w:val="16"/>
          <w:szCs w:val="16"/>
          <w:color w:val="auto"/>
        </w:rPr>
        <w:t>Aire-Tech LLC - Ohio</w:t>
      </w:r>
    </w:p>
    <w:p>
      <w:pPr>
        <w:ind w:left="840"/>
        <w:spacing w:after="0" w:line="237" w:lineRule="auto"/>
        <w:rPr>
          <w:sz w:val="20"/>
          <w:szCs w:val="20"/>
          <w:color w:val="auto"/>
        </w:rPr>
      </w:pPr>
      <w:r>
        <w:rPr>
          <w:rFonts w:ascii="Courier New" w:cs="Courier New" w:eastAsia="Courier New" w:hAnsi="Courier New"/>
          <w:sz w:val="16"/>
          <w:szCs w:val="16"/>
          <w:color w:val="auto"/>
        </w:rPr>
        <w:t>Airmaster Heating &amp; Air Conditioning LLC - Michigan</w:t>
      </w:r>
    </w:p>
    <w:p>
      <w:pPr>
        <w:ind w:left="840"/>
        <w:spacing w:after="0" w:line="237" w:lineRule="auto"/>
        <w:rPr>
          <w:sz w:val="20"/>
          <w:szCs w:val="20"/>
          <w:color w:val="auto"/>
        </w:rPr>
      </w:pPr>
      <w:r>
        <w:rPr>
          <w:rFonts w:ascii="Courier New" w:cs="Courier New" w:eastAsia="Courier New" w:hAnsi="Courier New"/>
          <w:sz w:val="16"/>
          <w:szCs w:val="16"/>
          <w:color w:val="auto"/>
        </w:rPr>
        <w:t>Allbritten Plumbing, Heating and Air Conditioning Service, Inc. -</w:t>
      </w:r>
    </w:p>
    <w:p>
      <w:pPr>
        <w:ind w:left="920"/>
        <w:spacing w:after="0" w:line="237" w:lineRule="auto"/>
        <w:rPr>
          <w:sz w:val="20"/>
          <w:szCs w:val="20"/>
          <w:color w:val="auto"/>
        </w:rPr>
      </w:pPr>
      <w:r>
        <w:rPr>
          <w:rFonts w:ascii="Courier New" w:cs="Courier New" w:eastAsia="Courier New" w:hAnsi="Courier New"/>
          <w:sz w:val="16"/>
          <w:szCs w:val="16"/>
          <w:color w:val="auto"/>
        </w:rPr>
        <w:t>Tennessee</w:t>
      </w:r>
    </w:p>
    <w:p>
      <w:pPr>
        <w:ind w:left="840"/>
        <w:spacing w:after="0" w:line="237" w:lineRule="auto"/>
        <w:rPr>
          <w:sz w:val="20"/>
          <w:szCs w:val="20"/>
          <w:color w:val="auto"/>
        </w:rPr>
      </w:pPr>
      <w:r>
        <w:rPr>
          <w:rFonts w:ascii="Courier New" w:cs="Courier New" w:eastAsia="Courier New" w:hAnsi="Courier New"/>
          <w:sz w:val="16"/>
          <w:szCs w:val="16"/>
          <w:color w:val="auto"/>
        </w:rPr>
        <w:t>Alliance Mechanical Heating and Air Conditioning, Inc. - California</w:t>
      </w:r>
    </w:p>
    <w:p>
      <w:pPr>
        <w:ind w:left="840"/>
        <w:spacing w:after="0" w:line="236" w:lineRule="auto"/>
        <w:rPr>
          <w:sz w:val="20"/>
          <w:szCs w:val="20"/>
          <w:color w:val="auto"/>
        </w:rPr>
      </w:pPr>
      <w:r>
        <w:rPr>
          <w:rFonts w:ascii="Courier New" w:cs="Courier New" w:eastAsia="Courier New" w:hAnsi="Courier New"/>
          <w:sz w:val="16"/>
          <w:szCs w:val="16"/>
          <w:color w:val="auto"/>
        </w:rPr>
        <w:t>Andros Refrigeration LLC - Arizona</w:t>
      </w:r>
    </w:p>
    <w:p>
      <w:pPr>
        <w:ind w:left="840"/>
        <w:spacing w:after="0" w:line="237" w:lineRule="auto"/>
        <w:rPr>
          <w:sz w:val="20"/>
          <w:szCs w:val="20"/>
          <w:color w:val="auto"/>
        </w:rPr>
      </w:pPr>
      <w:r>
        <w:rPr>
          <w:rFonts w:ascii="Courier New" w:cs="Courier New" w:eastAsia="Courier New" w:hAnsi="Courier New"/>
          <w:sz w:val="16"/>
          <w:szCs w:val="16"/>
          <w:color w:val="auto"/>
        </w:rPr>
        <w:t>Andy Lewis Heating &amp; Air Conditioning LLC - North Carolina</w:t>
      </w:r>
    </w:p>
    <w:p>
      <w:pPr>
        <w:ind w:left="840"/>
        <w:spacing w:after="0" w:line="237" w:lineRule="auto"/>
        <w:rPr>
          <w:sz w:val="20"/>
          <w:szCs w:val="20"/>
          <w:color w:val="auto"/>
        </w:rPr>
      </w:pPr>
      <w:r>
        <w:rPr>
          <w:rFonts w:ascii="Courier New" w:cs="Courier New" w:eastAsia="Courier New" w:hAnsi="Courier New"/>
          <w:sz w:val="16"/>
          <w:szCs w:val="16"/>
          <w:color w:val="auto"/>
        </w:rPr>
        <w:t>Andy Lewis Heating &amp; Air Conditioning LLC - Georgia</w:t>
      </w:r>
    </w:p>
    <w:p>
      <w:pPr>
        <w:ind w:left="840"/>
        <w:spacing w:after="0" w:line="237" w:lineRule="auto"/>
        <w:rPr>
          <w:sz w:val="20"/>
          <w:szCs w:val="20"/>
          <w:color w:val="auto"/>
        </w:rPr>
      </w:pPr>
      <w:r>
        <w:rPr>
          <w:rFonts w:ascii="Courier New" w:cs="Courier New" w:eastAsia="Courier New" w:hAnsi="Courier New"/>
          <w:sz w:val="16"/>
          <w:szCs w:val="16"/>
          <w:color w:val="auto"/>
        </w:rPr>
        <w:t>Arrow Heating &amp; Air Conditioning, Inc. - Wisconsin</w:t>
      </w:r>
    </w:p>
    <w:p>
      <w:pPr>
        <w:ind w:left="840"/>
        <w:spacing w:after="0" w:line="237" w:lineRule="auto"/>
        <w:rPr>
          <w:sz w:val="20"/>
          <w:szCs w:val="20"/>
          <w:color w:val="auto"/>
        </w:rPr>
      </w:pPr>
      <w:r>
        <w:rPr>
          <w:rFonts w:ascii="Courier New" w:cs="Courier New" w:eastAsia="Courier New" w:hAnsi="Courier New"/>
          <w:sz w:val="16"/>
          <w:szCs w:val="16"/>
          <w:color w:val="auto"/>
        </w:rPr>
        <w:t>Artic Aire of Chico, Inc. - California</w:t>
      </w:r>
    </w:p>
    <w:p>
      <w:pPr>
        <w:ind w:left="840"/>
        <w:spacing w:after="0" w:line="237" w:lineRule="auto"/>
        <w:rPr>
          <w:sz w:val="20"/>
          <w:szCs w:val="20"/>
          <w:color w:val="auto"/>
        </w:rPr>
      </w:pPr>
      <w:r>
        <w:rPr>
          <w:rFonts w:ascii="Courier New" w:cs="Courier New" w:eastAsia="Courier New" w:hAnsi="Courier New"/>
          <w:sz w:val="16"/>
          <w:szCs w:val="16"/>
          <w:color w:val="auto"/>
        </w:rPr>
        <w:t>Atlantic Air Conditioning and Heating LLC - Maryland</w:t>
      </w:r>
    </w:p>
    <w:p>
      <w:pPr>
        <w:ind w:left="840"/>
        <w:spacing w:after="0" w:line="237" w:lineRule="auto"/>
        <w:rPr>
          <w:sz w:val="20"/>
          <w:szCs w:val="20"/>
          <w:color w:val="auto"/>
        </w:rPr>
      </w:pPr>
      <w:r>
        <w:rPr>
          <w:rFonts w:ascii="Courier New" w:cs="Courier New" w:eastAsia="Courier New" w:hAnsi="Courier New"/>
          <w:sz w:val="16"/>
          <w:szCs w:val="16"/>
          <w:color w:val="auto"/>
        </w:rPr>
        <w:t>Atmostemp LLC - New Jersey</w:t>
      </w:r>
    </w:p>
    <w:p>
      <w:pPr>
        <w:ind w:left="840"/>
        <w:spacing w:after="0" w:line="237" w:lineRule="auto"/>
        <w:rPr>
          <w:sz w:val="20"/>
          <w:szCs w:val="20"/>
          <w:color w:val="auto"/>
        </w:rPr>
      </w:pPr>
      <w:r>
        <w:rPr>
          <w:rFonts w:ascii="Courier New" w:cs="Courier New" w:eastAsia="Courier New" w:hAnsi="Courier New"/>
          <w:sz w:val="16"/>
          <w:szCs w:val="16"/>
          <w:color w:val="auto"/>
        </w:rPr>
        <w:t>Austin Brothers LLC - Tennessee</w:t>
      </w:r>
    </w:p>
    <w:p>
      <w:pPr>
        <w:ind w:left="840"/>
        <w:spacing w:after="0" w:line="236" w:lineRule="auto"/>
        <w:rPr>
          <w:sz w:val="20"/>
          <w:szCs w:val="20"/>
          <w:color w:val="auto"/>
        </w:rPr>
      </w:pPr>
      <w:r>
        <w:rPr>
          <w:rFonts w:ascii="Courier New" w:cs="Courier New" w:eastAsia="Courier New" w:hAnsi="Courier New"/>
          <w:sz w:val="16"/>
          <w:szCs w:val="16"/>
          <w:color w:val="auto"/>
        </w:rPr>
        <w:t>Barlow Heating and Air Conditioning LLC - Delaware</w:t>
      </w:r>
    </w:p>
    <w:p>
      <w:pPr>
        <w:ind w:left="840"/>
        <w:spacing w:after="0" w:line="237" w:lineRule="auto"/>
        <w:rPr>
          <w:sz w:val="20"/>
          <w:szCs w:val="20"/>
          <w:color w:val="auto"/>
        </w:rPr>
      </w:pPr>
      <w:r>
        <w:rPr>
          <w:rFonts w:ascii="Courier New" w:cs="Courier New" w:eastAsia="Courier New" w:hAnsi="Courier New"/>
          <w:sz w:val="16"/>
          <w:szCs w:val="16"/>
          <w:color w:val="auto"/>
        </w:rPr>
        <w:t>Becht Heating &amp; Cooling LLC - Delaware</w:t>
      </w:r>
    </w:p>
    <w:p>
      <w:pPr>
        <w:ind w:left="840"/>
        <w:spacing w:after="0" w:line="237" w:lineRule="auto"/>
        <w:rPr>
          <w:sz w:val="20"/>
          <w:szCs w:val="20"/>
          <w:color w:val="auto"/>
        </w:rPr>
      </w:pPr>
      <w:r>
        <w:rPr>
          <w:rFonts w:ascii="Courier New" w:cs="Courier New" w:eastAsia="Courier New" w:hAnsi="Courier New"/>
          <w:sz w:val="16"/>
          <w:szCs w:val="16"/>
          <w:color w:val="auto"/>
        </w:rPr>
        <w:t>Ben Peer Heating LLC - New York</w:t>
      </w:r>
    </w:p>
    <w:p>
      <w:pPr>
        <w:ind w:left="840"/>
        <w:spacing w:after="0" w:line="237" w:lineRule="auto"/>
        <w:rPr>
          <w:sz w:val="20"/>
          <w:szCs w:val="20"/>
          <w:color w:val="auto"/>
        </w:rPr>
      </w:pPr>
      <w:r>
        <w:rPr>
          <w:rFonts w:ascii="Courier New" w:cs="Courier New" w:eastAsia="Courier New" w:hAnsi="Courier New"/>
          <w:sz w:val="16"/>
          <w:szCs w:val="16"/>
          <w:color w:val="auto"/>
        </w:rPr>
        <w:t>Berkshire Air Conditioning LLC - Tennessee</w:t>
      </w:r>
    </w:p>
    <w:p>
      <w:pPr>
        <w:ind w:left="840"/>
        <w:spacing w:after="0" w:line="237" w:lineRule="auto"/>
        <w:rPr>
          <w:sz w:val="20"/>
          <w:szCs w:val="20"/>
          <w:color w:val="auto"/>
        </w:rPr>
      </w:pPr>
      <w:r>
        <w:rPr>
          <w:rFonts w:ascii="Courier New" w:cs="Courier New" w:eastAsia="Courier New" w:hAnsi="Courier New"/>
          <w:sz w:val="16"/>
          <w:szCs w:val="16"/>
          <w:color w:val="auto"/>
        </w:rPr>
        <w:t>Broad Ripple Heating &amp; Air Conditioning LLC - Delaware</w:t>
      </w:r>
    </w:p>
    <w:p>
      <w:pPr>
        <w:ind w:left="840"/>
        <w:spacing w:after="0" w:line="237" w:lineRule="auto"/>
        <w:rPr>
          <w:sz w:val="20"/>
          <w:szCs w:val="20"/>
          <w:color w:val="auto"/>
        </w:rPr>
      </w:pPr>
      <w:r>
        <w:rPr>
          <w:rFonts w:ascii="Courier New" w:cs="Courier New" w:eastAsia="Courier New" w:hAnsi="Courier New"/>
          <w:sz w:val="16"/>
          <w:szCs w:val="16"/>
          <w:color w:val="auto"/>
        </w:rPr>
        <w:t>Burnsville Heating &amp; Air Conditioning LLC - Minnesota</w:t>
      </w:r>
    </w:p>
    <w:p>
      <w:pPr>
        <w:ind w:left="840"/>
        <w:spacing w:after="0" w:line="237" w:lineRule="auto"/>
        <w:rPr>
          <w:sz w:val="20"/>
          <w:szCs w:val="20"/>
          <w:color w:val="auto"/>
        </w:rPr>
      </w:pPr>
      <w:r>
        <w:rPr>
          <w:rFonts w:ascii="Courier New" w:cs="Courier New" w:eastAsia="Courier New" w:hAnsi="Courier New"/>
          <w:sz w:val="16"/>
          <w:szCs w:val="16"/>
          <w:color w:val="auto"/>
        </w:rPr>
        <w:t>C. Iapaluccio Company LLC - Connecticut</w:t>
      </w:r>
    </w:p>
    <w:p>
      <w:pPr>
        <w:ind w:left="840"/>
        <w:spacing w:after="0" w:line="237" w:lineRule="auto"/>
        <w:rPr>
          <w:sz w:val="20"/>
          <w:szCs w:val="20"/>
          <w:color w:val="auto"/>
        </w:rPr>
      </w:pPr>
      <w:r>
        <w:rPr>
          <w:rFonts w:ascii="Courier New" w:cs="Courier New" w:eastAsia="Courier New" w:hAnsi="Courier New"/>
          <w:sz w:val="16"/>
          <w:szCs w:val="16"/>
          <w:color w:val="auto"/>
        </w:rPr>
        <w:t>C. Woods Company LLC - Delaware</w:t>
      </w:r>
    </w:p>
    <w:p>
      <w:pPr>
        <w:ind w:left="840"/>
        <w:spacing w:after="0" w:line="236" w:lineRule="auto"/>
        <w:rPr>
          <w:sz w:val="20"/>
          <w:szCs w:val="20"/>
          <w:color w:val="auto"/>
        </w:rPr>
      </w:pPr>
      <w:r>
        <w:rPr>
          <w:rFonts w:ascii="Courier New" w:cs="Courier New" w:eastAsia="Courier New" w:hAnsi="Courier New"/>
          <w:sz w:val="16"/>
          <w:szCs w:val="16"/>
          <w:color w:val="auto"/>
        </w:rPr>
        <w:t>Calverley Air Conditioning &amp; Heating LLC - Delaware</w:t>
      </w:r>
    </w:p>
    <w:p>
      <w:pPr>
        <w:ind w:left="840"/>
        <w:spacing w:after="0" w:line="237" w:lineRule="auto"/>
        <w:rPr>
          <w:sz w:val="20"/>
          <w:szCs w:val="20"/>
          <w:color w:val="auto"/>
        </w:rPr>
      </w:pPr>
      <w:r>
        <w:rPr>
          <w:rFonts w:ascii="Courier New" w:cs="Courier New" w:eastAsia="Courier New" w:hAnsi="Courier New"/>
          <w:sz w:val="16"/>
          <w:szCs w:val="16"/>
          <w:color w:val="auto"/>
        </w:rPr>
        <w:t>Chief/Bauer Heating &amp; Air Conditioning LLC - Delaware</w:t>
      </w:r>
    </w:p>
    <w:p>
      <w:pPr>
        <w:ind w:left="840"/>
        <w:spacing w:after="0" w:line="237" w:lineRule="auto"/>
        <w:rPr>
          <w:sz w:val="20"/>
          <w:szCs w:val="20"/>
          <w:color w:val="auto"/>
        </w:rPr>
      </w:pPr>
      <w:r>
        <w:rPr>
          <w:rFonts w:ascii="Courier New" w:cs="Courier New" w:eastAsia="Courier New" w:hAnsi="Courier New"/>
          <w:sz w:val="16"/>
          <w:szCs w:val="16"/>
          <w:color w:val="auto"/>
        </w:rPr>
        <w:t>Climate Control LLC - Alabama</w:t>
      </w:r>
    </w:p>
    <w:p>
      <w:pPr>
        <w:ind w:left="840"/>
        <w:spacing w:after="0" w:line="237" w:lineRule="auto"/>
        <w:rPr>
          <w:sz w:val="20"/>
          <w:szCs w:val="20"/>
          <w:color w:val="auto"/>
        </w:rPr>
      </w:pPr>
      <w:r>
        <w:rPr>
          <w:rFonts w:ascii="Courier New" w:cs="Courier New" w:eastAsia="Courier New" w:hAnsi="Courier New"/>
          <w:sz w:val="16"/>
          <w:szCs w:val="16"/>
          <w:color w:val="auto"/>
        </w:rPr>
        <w:t>Climate Design Heating and Air Conditioning LLC - Delaware</w:t>
      </w:r>
    </w:p>
    <w:p>
      <w:pPr>
        <w:ind w:left="840"/>
        <w:spacing w:after="0" w:line="237" w:lineRule="auto"/>
        <w:rPr>
          <w:sz w:val="20"/>
          <w:szCs w:val="20"/>
          <w:color w:val="auto"/>
        </w:rPr>
      </w:pPr>
      <w:r>
        <w:rPr>
          <w:rFonts w:ascii="Courier New" w:cs="Courier New" w:eastAsia="Courier New" w:hAnsi="Courier New"/>
          <w:sz w:val="16"/>
          <w:szCs w:val="16"/>
          <w:color w:val="auto"/>
        </w:rPr>
        <w:t>Climate Design Systems LLC - Delaware</w:t>
      </w:r>
    </w:p>
    <w:p>
      <w:pPr>
        <w:ind w:left="840"/>
        <w:spacing w:after="0" w:line="237" w:lineRule="auto"/>
        <w:rPr>
          <w:sz w:val="20"/>
          <w:szCs w:val="20"/>
          <w:color w:val="auto"/>
        </w:rPr>
      </w:pPr>
      <w:r>
        <w:rPr>
          <w:rFonts w:ascii="Courier New" w:cs="Courier New" w:eastAsia="Courier New" w:hAnsi="Courier New"/>
          <w:sz w:val="16"/>
          <w:szCs w:val="16"/>
          <w:color w:val="auto"/>
        </w:rPr>
        <w:t>Climate Masters Service LLC - Colorado</w:t>
      </w:r>
    </w:p>
    <w:p>
      <w:pPr>
        <w:ind w:left="840"/>
        <w:spacing w:after="0" w:line="237" w:lineRule="auto"/>
        <w:rPr>
          <w:sz w:val="20"/>
          <w:szCs w:val="20"/>
          <w:color w:val="auto"/>
        </w:rPr>
      </w:pPr>
      <w:r>
        <w:rPr>
          <w:rFonts w:ascii="Courier New" w:cs="Courier New" w:eastAsia="Courier New" w:hAnsi="Courier New"/>
          <w:sz w:val="16"/>
          <w:szCs w:val="16"/>
          <w:color w:val="auto"/>
        </w:rPr>
        <w:t>Coastal Air Conditioning Service LLC - Georgia</w:t>
      </w:r>
    </w:p>
    <w:p>
      <w:pPr>
        <w:ind w:left="840"/>
        <w:spacing w:after="0" w:line="237" w:lineRule="auto"/>
        <w:rPr>
          <w:sz w:val="20"/>
          <w:szCs w:val="20"/>
          <w:color w:val="auto"/>
        </w:rPr>
      </w:pPr>
      <w:r>
        <w:rPr>
          <w:rFonts w:ascii="Courier New" w:cs="Courier New" w:eastAsia="Courier New" w:hAnsi="Courier New"/>
          <w:sz w:val="16"/>
          <w:szCs w:val="16"/>
          <w:color w:val="auto"/>
        </w:rPr>
        <w:t>Comfort Masters Heating &amp; Cooling LLC - Delaware</w:t>
      </w:r>
    </w:p>
    <w:p>
      <w:pPr>
        <w:ind w:left="840"/>
        <w:spacing w:after="0" w:line="236" w:lineRule="auto"/>
        <w:rPr>
          <w:sz w:val="20"/>
          <w:szCs w:val="20"/>
          <w:color w:val="auto"/>
        </w:rPr>
      </w:pPr>
      <w:r>
        <w:rPr>
          <w:rFonts w:ascii="Courier New" w:cs="Courier New" w:eastAsia="Courier New" w:hAnsi="Courier New"/>
          <w:sz w:val="16"/>
          <w:szCs w:val="16"/>
          <w:color w:val="auto"/>
        </w:rPr>
        <w:t>Comfort Tech Cooling &amp; Heating LLC - Tennessee</w:t>
      </w:r>
    </w:p>
    <w:p>
      <w:pPr>
        <w:ind w:left="840"/>
        <w:spacing w:after="0" w:line="237" w:lineRule="auto"/>
        <w:rPr>
          <w:sz w:val="20"/>
          <w:szCs w:val="20"/>
          <w:color w:val="auto"/>
        </w:rPr>
      </w:pPr>
      <w:r>
        <w:rPr>
          <w:rFonts w:ascii="Courier New" w:cs="Courier New" w:eastAsia="Courier New" w:hAnsi="Courier New"/>
          <w:sz w:val="16"/>
          <w:szCs w:val="16"/>
          <w:color w:val="auto"/>
        </w:rPr>
        <w:t>Comfortech LLC - Tennessee</w:t>
      </w:r>
    </w:p>
    <w:p>
      <w:pPr>
        <w:ind w:left="840"/>
        <w:spacing w:after="0" w:line="237" w:lineRule="auto"/>
        <w:rPr>
          <w:sz w:val="20"/>
          <w:szCs w:val="20"/>
          <w:color w:val="auto"/>
        </w:rPr>
      </w:pPr>
      <w:r>
        <w:rPr>
          <w:rFonts w:ascii="Courier New" w:cs="Courier New" w:eastAsia="Courier New" w:hAnsi="Courier New"/>
          <w:sz w:val="16"/>
          <w:szCs w:val="16"/>
          <w:color w:val="auto"/>
        </w:rPr>
        <w:t>Controlled Comfort LLC - Nebraska</w:t>
      </w:r>
    </w:p>
    <w:p>
      <w:pPr>
        <w:ind w:left="840"/>
        <w:spacing w:after="0" w:line="237" w:lineRule="auto"/>
        <w:rPr>
          <w:sz w:val="20"/>
          <w:szCs w:val="20"/>
          <w:color w:val="auto"/>
        </w:rPr>
      </w:pPr>
      <w:r>
        <w:rPr>
          <w:rFonts w:ascii="Courier New" w:cs="Courier New" w:eastAsia="Courier New" w:hAnsi="Courier New"/>
          <w:sz w:val="16"/>
          <w:szCs w:val="16"/>
          <w:color w:val="auto"/>
        </w:rPr>
        <w:t>Cook Heating &amp; Air Conditioning LLC - Michigan</w:t>
      </w:r>
    </w:p>
    <w:p>
      <w:pPr>
        <w:ind w:left="840"/>
        <w:spacing w:after="0" w:line="237" w:lineRule="auto"/>
        <w:rPr>
          <w:sz w:val="20"/>
          <w:szCs w:val="20"/>
          <w:color w:val="auto"/>
        </w:rPr>
      </w:pPr>
      <w:r>
        <w:rPr>
          <w:rFonts w:ascii="Courier New" w:cs="Courier New" w:eastAsia="Courier New" w:hAnsi="Courier New"/>
          <w:sz w:val="16"/>
          <w:szCs w:val="16"/>
          <w:color w:val="auto"/>
        </w:rPr>
        <w:t>Cook Heating and Air Conditioning LLC - Delaware</w:t>
      </w:r>
    </w:p>
    <w:p>
      <w:pPr>
        <w:ind w:left="840"/>
        <w:spacing w:after="0" w:line="237" w:lineRule="auto"/>
        <w:rPr>
          <w:sz w:val="20"/>
          <w:szCs w:val="20"/>
          <w:color w:val="auto"/>
        </w:rPr>
      </w:pPr>
      <w:r>
        <w:rPr>
          <w:rFonts w:ascii="Courier New" w:cs="Courier New" w:eastAsia="Courier New" w:hAnsi="Courier New"/>
          <w:sz w:val="16"/>
          <w:szCs w:val="16"/>
          <w:color w:val="auto"/>
        </w:rPr>
        <w:t>Cool Breeze LLC - Ohio</w:t>
      </w:r>
    </w:p>
    <w:p>
      <w:pPr>
        <w:ind w:left="840"/>
        <w:spacing w:after="0" w:line="237" w:lineRule="auto"/>
        <w:rPr>
          <w:sz w:val="20"/>
          <w:szCs w:val="20"/>
          <w:color w:val="auto"/>
        </w:rPr>
      </w:pPr>
      <w:r>
        <w:rPr>
          <w:rFonts w:ascii="Courier New" w:cs="Courier New" w:eastAsia="Courier New" w:hAnsi="Courier New"/>
          <w:sz w:val="16"/>
          <w:szCs w:val="16"/>
          <w:color w:val="auto"/>
        </w:rPr>
        <w:t>Cool Power LLC - New York</w:t>
      </w:r>
    </w:p>
    <w:p>
      <w:pPr>
        <w:sectPr>
          <w:pgSz w:w="11900" w:h="16838" w:orient="portrait"/>
          <w:cols w:equalWidth="0" w:num="1">
            <w:col w:w="10219"/>
          </w:cols>
          <w:pgMar w:left="240" w:top="1006" w:right="1440" w:bottom="1440" w:gutter="0" w:footer="0" w:header="0"/>
        </w:sectPr>
      </w:pPr>
    </w:p>
    <w:bookmarkStart w:id="143" w:name="page144"/>
    <w:bookmarkEnd w:id="143"/>
    <w:p>
      <w:pPr>
        <w:jc w:val="center"/>
        <w:ind w:right="3519"/>
        <w:spacing w:after="0"/>
        <w:rPr>
          <w:sz w:val="20"/>
          <w:szCs w:val="20"/>
          <w:color w:val="auto"/>
        </w:rPr>
      </w:pPr>
      <w:r>
        <w:rPr>
          <w:rFonts w:ascii="Courier New" w:cs="Courier New" w:eastAsia="Courier New" w:hAnsi="Courier New"/>
          <w:sz w:val="16"/>
          <w:szCs w:val="16"/>
          <w:color w:val="auto"/>
        </w:rPr>
        <w:t>ANNEX B</w:t>
      </w:r>
    </w:p>
    <w:p>
      <w:pPr>
        <w:jc w:val="center"/>
        <w:ind w:right="3619"/>
        <w:spacing w:after="0" w:line="236" w:lineRule="auto"/>
        <w:rPr>
          <w:sz w:val="20"/>
          <w:szCs w:val="20"/>
          <w:color w:val="auto"/>
        </w:rPr>
      </w:pPr>
      <w:r>
        <w:rPr>
          <w:rFonts w:ascii="Courier New" w:cs="Courier New" w:eastAsia="Courier New" w:hAnsi="Courier New"/>
          <w:sz w:val="16"/>
          <w:szCs w:val="16"/>
          <w:color w:val="auto"/>
        </w:rPr>
        <w:t>TO</w:t>
      </w:r>
    </w:p>
    <w:p>
      <w:pPr>
        <w:jc w:val="center"/>
        <w:ind w:right="361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SERVICE EXPERTS INC. SUBSIDIARIES (CONT'D.)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 Bennett LLC - New York</w:t>
      </w:r>
    </w:p>
    <w:p>
      <w:pPr>
        <w:spacing w:after="0" w:line="236" w:lineRule="auto"/>
        <w:rPr>
          <w:sz w:val="20"/>
          <w:szCs w:val="20"/>
          <w:color w:val="auto"/>
        </w:rPr>
      </w:pPr>
      <w:r>
        <w:rPr>
          <w:rFonts w:ascii="Courier New" w:cs="Courier New" w:eastAsia="Courier New" w:hAnsi="Courier New"/>
          <w:sz w:val="16"/>
          <w:szCs w:val="16"/>
          <w:color w:val="auto"/>
        </w:rPr>
        <w:t>Davis the Plumber LLC - New Mexico</w:t>
      </w:r>
    </w:p>
    <w:p>
      <w:pPr>
        <w:spacing w:after="0" w:line="4"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Dial One Raymond Plumbing, Heating &amp; Cooling, Inc. - Tennessee DiMarco Mechanical LLC - Ohio</w:t>
      </w:r>
    </w:p>
    <w:p>
      <w:pPr>
        <w:spacing w:after="0" w:line="237" w:lineRule="auto"/>
        <w:rPr>
          <w:sz w:val="20"/>
          <w:szCs w:val="20"/>
          <w:color w:val="auto"/>
        </w:rPr>
      </w:pPr>
      <w:r>
        <w:rPr>
          <w:rFonts w:ascii="Courier New" w:cs="Courier New" w:eastAsia="Courier New" w:hAnsi="Courier New"/>
          <w:sz w:val="16"/>
          <w:szCs w:val="16"/>
          <w:color w:val="auto"/>
        </w:rPr>
        <w:t>Dodge Heating &amp; Air Conditioning LLC - Georgia</w:t>
      </w:r>
    </w:p>
    <w:p>
      <w:pPr>
        <w:spacing w:after="0" w:line="237" w:lineRule="auto"/>
        <w:rPr>
          <w:sz w:val="20"/>
          <w:szCs w:val="20"/>
          <w:color w:val="auto"/>
        </w:rPr>
      </w:pPr>
      <w:r>
        <w:rPr>
          <w:rFonts w:ascii="Courier New" w:cs="Courier New" w:eastAsia="Courier New" w:hAnsi="Courier New"/>
          <w:sz w:val="16"/>
          <w:szCs w:val="16"/>
          <w:color w:val="auto"/>
        </w:rPr>
        <w:t>Doler Plumbing &amp; Heating LLC - Delaware</w:t>
      </w:r>
    </w:p>
    <w:p>
      <w:pPr>
        <w:spacing w:after="0" w:line="4" w:lineRule="exact"/>
        <w:rPr>
          <w:sz w:val="20"/>
          <w:szCs w:val="20"/>
          <w:color w:val="auto"/>
        </w:rPr>
      </w:pPr>
    </w:p>
    <w:p>
      <w:pPr>
        <w:ind w:right="4459"/>
        <w:spacing w:after="0" w:line="235" w:lineRule="auto"/>
        <w:rPr>
          <w:sz w:val="20"/>
          <w:szCs w:val="20"/>
          <w:color w:val="auto"/>
        </w:rPr>
      </w:pPr>
      <w:r>
        <w:rPr>
          <w:rFonts w:ascii="Courier New" w:cs="Courier New" w:eastAsia="Courier New" w:hAnsi="Courier New"/>
          <w:sz w:val="16"/>
          <w:szCs w:val="16"/>
          <w:color w:val="auto"/>
        </w:rPr>
        <w:t>Economy Heating &amp; Air Conditioning LLC - Pennsylvania Edison Heating and Cooling LLC - New Jersey Epperson LLC - South Carolina Eveready LLC - Virginia</w:t>
      </w:r>
    </w:p>
    <w:p>
      <w:pPr>
        <w:spacing w:after="0"/>
        <w:rPr>
          <w:sz w:val="20"/>
          <w:szCs w:val="20"/>
          <w:color w:val="auto"/>
        </w:rPr>
      </w:pPr>
      <w:r>
        <w:rPr>
          <w:rFonts w:ascii="Courier New" w:cs="Courier New" w:eastAsia="Courier New" w:hAnsi="Courier New"/>
          <w:sz w:val="16"/>
          <w:szCs w:val="16"/>
          <w:color w:val="auto"/>
        </w:rPr>
        <w:t>Falso Service Experts LLC - New York</w:t>
      </w:r>
    </w:p>
    <w:p>
      <w:pPr>
        <w:spacing w:after="0" w:line="236" w:lineRule="auto"/>
        <w:rPr>
          <w:sz w:val="20"/>
          <w:szCs w:val="20"/>
          <w:color w:val="auto"/>
        </w:rPr>
      </w:pPr>
      <w:r>
        <w:rPr>
          <w:rFonts w:ascii="Courier New" w:cs="Courier New" w:eastAsia="Courier New" w:hAnsi="Courier New"/>
          <w:sz w:val="16"/>
          <w:szCs w:val="16"/>
          <w:color w:val="auto"/>
        </w:rPr>
        <w:t>Fras-Air Contracting LLC* - New Jersey</w:t>
      </w:r>
    </w:p>
    <w:p>
      <w:pPr>
        <w:spacing w:after="0" w:line="237" w:lineRule="auto"/>
        <w:rPr>
          <w:sz w:val="20"/>
          <w:szCs w:val="20"/>
          <w:color w:val="auto"/>
        </w:rPr>
      </w:pPr>
      <w:r>
        <w:rPr>
          <w:rFonts w:ascii="Courier New" w:cs="Courier New" w:eastAsia="Courier New" w:hAnsi="Courier New"/>
          <w:sz w:val="16"/>
          <w:szCs w:val="16"/>
          <w:color w:val="auto"/>
        </w:rPr>
        <w:t>Freschi Air Systems, Inc. - Tennessee</w:t>
      </w:r>
    </w:p>
    <w:p>
      <w:pPr>
        <w:spacing w:after="0" w:line="237" w:lineRule="auto"/>
        <w:rPr>
          <w:sz w:val="20"/>
          <w:szCs w:val="20"/>
          <w:color w:val="auto"/>
        </w:rPr>
      </w:pPr>
      <w:r>
        <w:rPr>
          <w:rFonts w:ascii="Courier New" w:cs="Courier New" w:eastAsia="Courier New" w:hAnsi="Courier New"/>
          <w:sz w:val="16"/>
          <w:szCs w:val="16"/>
          <w:color w:val="auto"/>
        </w:rPr>
        <w:t>General Conditioning LLC* - New Jersey</w:t>
      </w:r>
    </w:p>
    <w:p>
      <w:pPr>
        <w:spacing w:after="0" w:line="4"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6"/>
          <w:szCs w:val="16"/>
          <w:color w:val="auto"/>
        </w:rPr>
        <w:t>Getzschman Heating &amp; Sheet Metal Contractors LLC - Nebraska Golden Seal Heating &amp; Air Conditioning LLC - Delaware Gordon's Specialty Company LLC - Oklahoma Gray Refrigeration LLC - Delaware</w:t>
      </w:r>
    </w:p>
    <w:p>
      <w:pPr>
        <w:spacing w:after="0"/>
        <w:rPr>
          <w:sz w:val="20"/>
          <w:szCs w:val="20"/>
          <w:color w:val="auto"/>
        </w:rPr>
      </w:pPr>
      <w:r>
        <w:rPr>
          <w:rFonts w:ascii="Courier New" w:cs="Courier New" w:eastAsia="Courier New" w:hAnsi="Courier New"/>
          <w:sz w:val="16"/>
          <w:szCs w:val="16"/>
          <w:color w:val="auto"/>
        </w:rPr>
        <w:t>Greenwood Heating &amp; A/C LLC - Washington</w:t>
      </w:r>
    </w:p>
    <w:p>
      <w:pPr>
        <w:spacing w:after="0" w:line="236" w:lineRule="auto"/>
        <w:rPr>
          <w:sz w:val="20"/>
          <w:szCs w:val="20"/>
          <w:color w:val="auto"/>
        </w:rPr>
      </w:pPr>
      <w:r>
        <w:rPr>
          <w:rFonts w:ascii="Courier New" w:cs="Courier New" w:eastAsia="Courier New" w:hAnsi="Courier New"/>
          <w:sz w:val="16"/>
          <w:szCs w:val="16"/>
          <w:color w:val="auto"/>
        </w:rPr>
        <w:t>Gregory's Plumbing Co. LLC - Oklahoma</w:t>
      </w:r>
    </w:p>
    <w:p>
      <w:pPr>
        <w:spacing w:after="0" w:line="237" w:lineRule="auto"/>
        <w:rPr>
          <w:sz w:val="20"/>
          <w:szCs w:val="20"/>
          <w:color w:val="auto"/>
        </w:rPr>
      </w:pPr>
      <w:r>
        <w:rPr>
          <w:rFonts w:ascii="Courier New" w:cs="Courier New" w:eastAsia="Courier New" w:hAnsi="Courier New"/>
          <w:sz w:val="16"/>
          <w:szCs w:val="16"/>
          <w:color w:val="auto"/>
        </w:rPr>
        <w:t>H.S. Stevenson &amp; Sons LLC - Ohio</w:t>
      </w:r>
    </w:p>
    <w:p>
      <w:pPr>
        <w:spacing w:after="0" w:line="237" w:lineRule="auto"/>
        <w:rPr>
          <w:sz w:val="20"/>
          <w:szCs w:val="20"/>
          <w:color w:val="auto"/>
        </w:rPr>
      </w:pPr>
      <w:r>
        <w:rPr>
          <w:rFonts w:ascii="Courier New" w:cs="Courier New" w:eastAsia="Courier New" w:hAnsi="Courier New"/>
          <w:sz w:val="16"/>
          <w:szCs w:val="16"/>
          <w:color w:val="auto"/>
        </w:rPr>
        <w:t>Holmes Sales &amp; Service LLC - Iowa</w:t>
      </w:r>
    </w:p>
    <w:p>
      <w:pPr>
        <w:spacing w:after="0" w:line="236" w:lineRule="auto"/>
        <w:rPr>
          <w:sz w:val="20"/>
          <w:szCs w:val="20"/>
          <w:color w:val="auto"/>
        </w:rPr>
      </w:pPr>
      <w:r>
        <w:rPr>
          <w:rFonts w:ascii="Courier New" w:cs="Courier New" w:eastAsia="Courier New" w:hAnsi="Courier New"/>
          <w:sz w:val="16"/>
          <w:szCs w:val="16"/>
          <w:color w:val="auto"/>
        </w:rPr>
        <w:t>Industrial Building Services, Inc. - Florida</w:t>
      </w:r>
    </w:p>
    <w:p>
      <w:pPr>
        <w:spacing w:after="0" w:line="237" w:lineRule="auto"/>
        <w:rPr>
          <w:sz w:val="20"/>
          <w:szCs w:val="20"/>
          <w:color w:val="auto"/>
        </w:rPr>
      </w:pPr>
      <w:r>
        <w:rPr>
          <w:rFonts w:ascii="Courier New" w:cs="Courier New" w:eastAsia="Courier New" w:hAnsi="Courier New"/>
          <w:sz w:val="16"/>
          <w:szCs w:val="16"/>
          <w:color w:val="auto"/>
        </w:rPr>
        <w:t>International Service Leadership Inc. - Delaware</w:t>
      </w:r>
    </w:p>
    <w:p>
      <w:pPr>
        <w:spacing w:after="0" w:line="237" w:lineRule="auto"/>
        <w:rPr>
          <w:sz w:val="20"/>
          <w:szCs w:val="20"/>
          <w:color w:val="auto"/>
        </w:rPr>
      </w:pPr>
      <w:r>
        <w:rPr>
          <w:rFonts w:ascii="Courier New" w:cs="Courier New" w:eastAsia="Courier New" w:hAnsi="Courier New"/>
          <w:sz w:val="16"/>
          <w:szCs w:val="16"/>
          <w:color w:val="auto"/>
        </w:rPr>
        <w:t>Jack Nelson Co. LLC - Oklahoma</w:t>
      </w:r>
    </w:p>
    <w:p>
      <w:pPr>
        <w:spacing w:after="0" w:line="237" w:lineRule="auto"/>
        <w:rPr>
          <w:sz w:val="20"/>
          <w:szCs w:val="20"/>
          <w:color w:val="auto"/>
        </w:rPr>
      </w:pPr>
      <w:r>
        <w:rPr>
          <w:rFonts w:ascii="Courier New" w:cs="Courier New" w:eastAsia="Courier New" w:hAnsi="Courier New"/>
          <w:sz w:val="16"/>
          <w:szCs w:val="16"/>
          <w:color w:val="auto"/>
        </w:rPr>
        <w:t>Jansen Heating and Air Conditioning LLC - Delaware</w:t>
      </w:r>
    </w:p>
    <w:p>
      <w:pPr>
        <w:spacing w:after="0" w:line="237" w:lineRule="auto"/>
        <w:rPr>
          <w:sz w:val="20"/>
          <w:szCs w:val="20"/>
          <w:color w:val="auto"/>
        </w:rPr>
      </w:pPr>
      <w:r>
        <w:rPr>
          <w:rFonts w:ascii="Courier New" w:cs="Courier New" w:eastAsia="Courier New" w:hAnsi="Courier New"/>
          <w:sz w:val="16"/>
          <w:szCs w:val="16"/>
          <w:color w:val="auto"/>
        </w:rPr>
        <w:t>Jebco Heating &amp; Air Conditioning LLC - Colorado</w:t>
      </w:r>
    </w:p>
    <w:p>
      <w:pPr>
        <w:spacing w:after="0" w:line="237" w:lineRule="auto"/>
        <w:rPr>
          <w:sz w:val="20"/>
          <w:szCs w:val="20"/>
          <w:color w:val="auto"/>
        </w:rPr>
      </w:pPr>
      <w:r>
        <w:rPr>
          <w:rFonts w:ascii="Courier New" w:cs="Courier New" w:eastAsia="Courier New" w:hAnsi="Courier New"/>
          <w:sz w:val="16"/>
          <w:szCs w:val="16"/>
          <w:color w:val="auto"/>
        </w:rPr>
        <w:t>JM Mechanical LLC - Delaware</w:t>
      </w:r>
    </w:p>
    <w:p>
      <w:pPr>
        <w:spacing w:after="0" w:line="4"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6"/>
          <w:szCs w:val="16"/>
          <w:color w:val="auto"/>
        </w:rPr>
        <w:t>K &amp; S Heating, Air Conditioning &amp; Plumbing LLC - Minnesota Kiko Heating &amp; Air Conditioning LLC - Ohio Klawinski LLC - Delaware</w:t>
      </w:r>
    </w:p>
    <w:p>
      <w:pPr>
        <w:spacing w:after="0" w:line="237" w:lineRule="auto"/>
        <w:rPr>
          <w:sz w:val="20"/>
          <w:szCs w:val="20"/>
          <w:color w:val="auto"/>
        </w:rPr>
      </w:pPr>
      <w:r>
        <w:rPr>
          <w:rFonts w:ascii="Courier New" w:cs="Courier New" w:eastAsia="Courier New" w:hAnsi="Courier New"/>
          <w:sz w:val="16"/>
          <w:szCs w:val="16"/>
          <w:color w:val="auto"/>
        </w:rPr>
        <w:t>Knochelmann Plumbing, Heating &amp; Air LLC - Kentucky</w:t>
      </w:r>
    </w:p>
    <w:p>
      <w:pPr>
        <w:spacing w:after="0" w:line="237" w:lineRule="auto"/>
        <w:rPr>
          <w:sz w:val="20"/>
          <w:szCs w:val="20"/>
          <w:color w:val="auto"/>
        </w:rPr>
      </w:pPr>
      <w:r>
        <w:rPr>
          <w:rFonts w:ascii="Courier New" w:cs="Courier New" w:eastAsia="Courier New" w:hAnsi="Courier New"/>
          <w:sz w:val="16"/>
          <w:szCs w:val="16"/>
          <w:color w:val="auto"/>
        </w:rPr>
        <w:t>Kozon LLC - Tennessee</w:t>
      </w:r>
    </w:p>
    <w:p>
      <w:pPr>
        <w:spacing w:after="0" w:line="237" w:lineRule="auto"/>
        <w:rPr>
          <w:sz w:val="20"/>
          <w:szCs w:val="20"/>
          <w:color w:val="auto"/>
        </w:rPr>
      </w:pPr>
      <w:r>
        <w:rPr>
          <w:rFonts w:ascii="Courier New" w:cs="Courier New" w:eastAsia="Courier New" w:hAnsi="Courier New"/>
          <w:sz w:val="16"/>
          <w:szCs w:val="16"/>
          <w:color w:val="auto"/>
        </w:rPr>
        <w:t>Kruger's Heating &amp; Air Conditioning LLC - Delaware</w:t>
      </w:r>
    </w:p>
    <w:p>
      <w:pPr>
        <w:spacing w:after="0" w:line="237" w:lineRule="auto"/>
        <w:rPr>
          <w:sz w:val="20"/>
          <w:szCs w:val="20"/>
          <w:color w:val="auto"/>
        </w:rPr>
      </w:pPr>
      <w:r>
        <w:rPr>
          <w:rFonts w:ascii="Courier New" w:cs="Courier New" w:eastAsia="Courier New" w:hAnsi="Courier New"/>
          <w:sz w:val="16"/>
          <w:szCs w:val="16"/>
          <w:color w:val="auto"/>
        </w:rPr>
        <w:t>Lake Arbor Heating LLC - Colorado</w:t>
      </w:r>
    </w:p>
    <w:p>
      <w:pPr>
        <w:spacing w:after="0" w:line="237" w:lineRule="auto"/>
        <w:rPr>
          <w:sz w:val="20"/>
          <w:szCs w:val="20"/>
          <w:color w:val="auto"/>
        </w:rPr>
      </w:pPr>
      <w:r>
        <w:rPr>
          <w:rFonts w:ascii="Courier New" w:cs="Courier New" w:eastAsia="Courier New" w:hAnsi="Courier New"/>
          <w:sz w:val="16"/>
          <w:szCs w:val="16"/>
          <w:color w:val="auto"/>
        </w:rPr>
        <w:t>Lee Voisard Plumbing &amp; Heating LLC - Ohio</w:t>
      </w:r>
    </w:p>
    <w:p>
      <w:pPr>
        <w:spacing w:after="0" w:line="236" w:lineRule="auto"/>
        <w:rPr>
          <w:sz w:val="20"/>
          <w:szCs w:val="20"/>
          <w:color w:val="auto"/>
        </w:rPr>
      </w:pPr>
      <w:r>
        <w:rPr>
          <w:rFonts w:ascii="Courier New" w:cs="Courier New" w:eastAsia="Courier New" w:hAnsi="Courier New"/>
          <w:sz w:val="16"/>
          <w:szCs w:val="16"/>
          <w:color w:val="auto"/>
        </w:rPr>
        <w:t>Mathews Heating &amp; Air Conditioning LLC - Tennessee</w:t>
      </w:r>
    </w:p>
    <w:p>
      <w:pPr>
        <w:spacing w:after="0" w:line="237" w:lineRule="auto"/>
        <w:rPr>
          <w:sz w:val="20"/>
          <w:szCs w:val="20"/>
          <w:color w:val="auto"/>
        </w:rPr>
      </w:pPr>
      <w:r>
        <w:rPr>
          <w:rFonts w:ascii="Courier New" w:cs="Courier New" w:eastAsia="Courier New" w:hAnsi="Courier New"/>
          <w:sz w:val="16"/>
          <w:szCs w:val="16"/>
          <w:color w:val="auto"/>
        </w:rPr>
        <w:t>Matz Heating &amp; Air Conditioning LLC - New York</w:t>
      </w:r>
    </w:p>
    <w:p>
      <w:pPr>
        <w:spacing w:after="0" w:line="237" w:lineRule="auto"/>
        <w:rPr>
          <w:sz w:val="20"/>
          <w:szCs w:val="20"/>
          <w:color w:val="auto"/>
        </w:rPr>
      </w:pPr>
      <w:r>
        <w:rPr>
          <w:rFonts w:ascii="Courier New" w:cs="Courier New" w:eastAsia="Courier New" w:hAnsi="Courier New"/>
          <w:sz w:val="16"/>
          <w:szCs w:val="16"/>
          <w:color w:val="auto"/>
        </w:rPr>
        <w:t>McPhee Service Experts, Inc. - Colorado</w:t>
      </w:r>
    </w:p>
    <w:p>
      <w:pPr>
        <w:spacing w:after="0" w:line="237" w:lineRule="auto"/>
        <w:rPr>
          <w:sz w:val="20"/>
          <w:szCs w:val="20"/>
          <w:color w:val="auto"/>
        </w:rPr>
      </w:pPr>
      <w:r>
        <w:rPr>
          <w:rFonts w:ascii="Courier New" w:cs="Courier New" w:eastAsia="Courier New" w:hAnsi="Courier New"/>
          <w:sz w:val="16"/>
          <w:szCs w:val="16"/>
          <w:color w:val="auto"/>
        </w:rPr>
        <w:t>Metro-Tech Service Co. - Delaware</w:t>
      </w:r>
    </w:p>
    <w:p>
      <w:pPr>
        <w:spacing w:after="0" w:line="4" w:lineRule="exact"/>
        <w:rPr>
          <w:sz w:val="20"/>
          <w:szCs w:val="20"/>
          <w:color w:val="auto"/>
        </w:rPr>
      </w:pPr>
    </w:p>
    <w:p>
      <w:pPr>
        <w:ind w:right="4079"/>
        <w:spacing w:after="0" w:line="270" w:lineRule="auto"/>
        <w:rPr>
          <w:sz w:val="20"/>
          <w:szCs w:val="20"/>
          <w:color w:val="auto"/>
        </w:rPr>
      </w:pPr>
      <w:r>
        <w:rPr>
          <w:rFonts w:ascii="Courier New" w:cs="Courier New" w:eastAsia="Courier New" w:hAnsi="Courier New"/>
          <w:sz w:val="14"/>
          <w:szCs w:val="14"/>
          <w:color w:val="auto"/>
        </w:rPr>
        <w:t>Midland Heating and Air Conditioning LLC - South Carolina Miller Refrigeration, A/C, &amp; Htg. Co. - North Carolina</w:t>
      </w:r>
    </w:p>
    <w:p>
      <w:pPr>
        <w:spacing w:after="0" w:line="1" w:lineRule="exact"/>
        <w:rPr>
          <w:sz w:val="20"/>
          <w:szCs w:val="20"/>
          <w:color w:val="auto"/>
        </w:rPr>
      </w:pPr>
    </w:p>
    <w:p>
      <w:pPr>
        <w:ind w:right="3519"/>
        <w:spacing w:after="0" w:line="235" w:lineRule="auto"/>
        <w:rPr>
          <w:sz w:val="20"/>
          <w:szCs w:val="20"/>
          <w:color w:val="auto"/>
        </w:rPr>
      </w:pPr>
      <w:r>
        <w:rPr>
          <w:rFonts w:ascii="Courier New" w:cs="Courier New" w:eastAsia="Courier New" w:hAnsi="Courier New"/>
          <w:sz w:val="16"/>
          <w:szCs w:val="16"/>
          <w:color w:val="auto"/>
        </w:rPr>
        <w:t>Neal Harris Heating, Air Conditioning &amp; Plumbing LLC - Missouri Norrell Heating and Air Conditioning LLC - Alabama Pardee Refrigeration LLC - South Carolina</w:t>
      </w:r>
    </w:p>
    <w:p>
      <w:pPr>
        <w:spacing w:after="0" w:line="237" w:lineRule="auto"/>
        <w:rPr>
          <w:sz w:val="20"/>
          <w:szCs w:val="20"/>
          <w:color w:val="auto"/>
        </w:rPr>
      </w:pPr>
      <w:r>
        <w:rPr>
          <w:rFonts w:ascii="Courier New" w:cs="Courier New" w:eastAsia="Courier New" w:hAnsi="Courier New"/>
          <w:sz w:val="16"/>
          <w:szCs w:val="16"/>
          <w:color w:val="auto"/>
        </w:rPr>
        <w:t>Parker-Pearce Service Experts LLC - Maryland</w:t>
      </w:r>
    </w:p>
    <w:p>
      <w:pPr>
        <w:sectPr>
          <w:pgSz w:w="11900" w:h="16838" w:orient="portrait"/>
          <w:cols w:equalWidth="0" w:num="1">
            <w:col w:w="9379"/>
          </w:cols>
          <w:pgMar w:left="1080" w:top="827" w:right="1440" w:bottom="1440" w:gutter="0" w:footer="0" w:header="0"/>
        </w:sectPr>
      </w:pPr>
    </w:p>
    <w:bookmarkStart w:id="144" w:name="page145"/>
    <w:bookmarkEnd w:id="144"/>
    <w:p>
      <w:pPr>
        <w:jc w:val="center"/>
        <w:ind w:right="3512"/>
        <w:spacing w:after="0"/>
        <w:rPr>
          <w:sz w:val="20"/>
          <w:szCs w:val="20"/>
          <w:color w:val="auto"/>
        </w:rPr>
      </w:pPr>
      <w:r>
        <w:rPr>
          <w:rFonts w:ascii="Courier New" w:cs="Courier New" w:eastAsia="Courier New" w:hAnsi="Courier New"/>
          <w:sz w:val="16"/>
          <w:szCs w:val="16"/>
          <w:color w:val="auto"/>
        </w:rPr>
        <w:t>ANNEX B</w:t>
      </w:r>
    </w:p>
    <w:p>
      <w:pPr>
        <w:jc w:val="center"/>
        <w:ind w:right="3612"/>
        <w:spacing w:after="0" w:line="236" w:lineRule="auto"/>
        <w:rPr>
          <w:sz w:val="20"/>
          <w:szCs w:val="20"/>
          <w:color w:val="auto"/>
        </w:rPr>
      </w:pPr>
      <w:r>
        <w:rPr>
          <w:rFonts w:ascii="Courier New" w:cs="Courier New" w:eastAsia="Courier New" w:hAnsi="Courier New"/>
          <w:sz w:val="16"/>
          <w:szCs w:val="16"/>
          <w:color w:val="auto"/>
        </w:rPr>
        <w:t>TO</w:t>
      </w:r>
    </w:p>
    <w:p>
      <w:pPr>
        <w:jc w:val="center"/>
        <w:ind w:right="3612"/>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927"/>
        <w:spacing w:after="0"/>
        <w:rPr>
          <w:sz w:val="20"/>
          <w:szCs w:val="20"/>
          <w:color w:val="auto"/>
        </w:rPr>
      </w:pPr>
      <w:r>
        <w:rPr>
          <w:rFonts w:ascii="Courier New" w:cs="Courier New" w:eastAsia="Courier New" w:hAnsi="Courier New"/>
          <w:sz w:val="16"/>
          <w:szCs w:val="16"/>
          <w:color w:val="auto"/>
        </w:rPr>
        <w:t>SERVICE EXPERTS INC. SUBSIDIARIES (CONT'D.)</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Parrott Mechanical, Inc. - Idaho</w:t>
      </w:r>
    </w:p>
    <w:p>
      <w:pPr>
        <w:ind w:left="7"/>
        <w:spacing w:after="0" w:line="236" w:lineRule="auto"/>
        <w:rPr>
          <w:sz w:val="20"/>
          <w:szCs w:val="20"/>
          <w:color w:val="auto"/>
        </w:rPr>
      </w:pPr>
      <w:r>
        <w:rPr>
          <w:rFonts w:ascii="Courier New" w:cs="Courier New" w:eastAsia="Courier New" w:hAnsi="Courier New"/>
          <w:sz w:val="16"/>
          <w:szCs w:val="16"/>
          <w:color w:val="auto"/>
        </w:rPr>
        <w:t>Peachtree Service Experts LLC - Georgia</w:t>
      </w:r>
    </w:p>
    <w:p>
      <w:pPr>
        <w:ind w:left="7"/>
        <w:spacing w:after="0" w:line="237" w:lineRule="auto"/>
        <w:rPr>
          <w:sz w:val="20"/>
          <w:szCs w:val="20"/>
          <w:color w:val="auto"/>
        </w:rPr>
      </w:pPr>
      <w:r>
        <w:rPr>
          <w:rFonts w:ascii="Courier New" w:cs="Courier New" w:eastAsia="Courier New" w:hAnsi="Courier New"/>
          <w:sz w:val="16"/>
          <w:szCs w:val="16"/>
          <w:color w:val="auto"/>
        </w:rPr>
        <w:t>Peitz Heating and Cooling LLC - South Dakota</w:t>
      </w:r>
    </w:p>
    <w:p>
      <w:pPr>
        <w:ind w:left="7"/>
        <w:spacing w:after="0" w:line="237" w:lineRule="auto"/>
        <w:rPr>
          <w:sz w:val="20"/>
          <w:szCs w:val="20"/>
          <w:color w:val="auto"/>
        </w:rPr>
      </w:pPr>
      <w:r>
        <w:rPr>
          <w:rFonts w:ascii="Courier New" w:cs="Courier New" w:eastAsia="Courier New" w:hAnsi="Courier New"/>
          <w:sz w:val="16"/>
          <w:szCs w:val="16"/>
          <w:color w:val="auto"/>
        </w:rPr>
        <w:t>R&amp;M Climate Control LLC - Tennessee</w:t>
      </w:r>
    </w:p>
    <w:p>
      <w:pPr>
        <w:ind w:left="7"/>
        <w:spacing w:after="0" w:line="237" w:lineRule="auto"/>
        <w:rPr>
          <w:sz w:val="20"/>
          <w:szCs w:val="20"/>
          <w:color w:val="auto"/>
        </w:rPr>
      </w:pPr>
      <w:r>
        <w:rPr>
          <w:rFonts w:ascii="Courier New" w:cs="Courier New" w:eastAsia="Courier New" w:hAnsi="Courier New"/>
          <w:sz w:val="16"/>
          <w:szCs w:val="16"/>
          <w:color w:val="auto"/>
        </w:rPr>
        <w:t>Roland J. Down LLC - New York</w:t>
      </w:r>
    </w:p>
    <w:p>
      <w:pPr>
        <w:spacing w:after="0" w:line="4" w:lineRule="exact"/>
        <w:rPr>
          <w:sz w:val="20"/>
          <w:szCs w:val="20"/>
          <w:color w:val="auto"/>
        </w:rPr>
      </w:pPr>
    </w:p>
    <w:p>
      <w:pPr>
        <w:ind w:left="7" w:right="4359"/>
        <w:spacing w:after="0" w:line="234" w:lineRule="auto"/>
        <w:rPr>
          <w:sz w:val="20"/>
          <w:szCs w:val="20"/>
          <w:color w:val="auto"/>
        </w:rPr>
      </w:pPr>
      <w:r>
        <w:rPr>
          <w:rFonts w:ascii="Courier New" w:cs="Courier New" w:eastAsia="Courier New" w:hAnsi="Courier New"/>
          <w:sz w:val="16"/>
          <w:szCs w:val="16"/>
          <w:color w:val="auto"/>
        </w:rPr>
        <w:t>Rolf Griffin Heating &amp; Air Conditioning LLC - Delaware Ryan Heating LLC - Missouri</w:t>
      </w:r>
    </w:p>
    <w:p>
      <w:pPr>
        <w:ind w:left="7"/>
        <w:spacing w:after="0" w:line="237" w:lineRule="auto"/>
        <w:rPr>
          <w:sz w:val="20"/>
          <w:szCs w:val="20"/>
          <w:color w:val="auto"/>
        </w:rPr>
      </w:pPr>
      <w:r>
        <w:rPr>
          <w:rFonts w:ascii="Courier New" w:cs="Courier New" w:eastAsia="Courier New" w:hAnsi="Courier New"/>
          <w:sz w:val="16"/>
          <w:szCs w:val="16"/>
          <w:color w:val="auto"/>
        </w:rPr>
        <w:t>S &amp; W Air Conditioning LLC - Tennessee</w:t>
      </w:r>
    </w:p>
    <w:p>
      <w:pPr>
        <w:ind w:left="7"/>
        <w:spacing w:after="0" w:line="237" w:lineRule="auto"/>
        <w:rPr>
          <w:sz w:val="20"/>
          <w:szCs w:val="20"/>
          <w:color w:val="auto"/>
        </w:rPr>
      </w:pPr>
      <w:r>
        <w:rPr>
          <w:rFonts w:ascii="Courier New" w:cs="Courier New" w:eastAsia="Courier New" w:hAnsi="Courier New"/>
          <w:sz w:val="16"/>
          <w:szCs w:val="16"/>
          <w:color w:val="auto"/>
        </w:rPr>
        <w:t>San Antonio Air Conditioning LLC - Delaware</w:t>
      </w:r>
    </w:p>
    <w:p>
      <w:pPr>
        <w:ind w:left="7"/>
        <w:spacing w:after="0" w:line="237" w:lineRule="auto"/>
        <w:rPr>
          <w:sz w:val="20"/>
          <w:szCs w:val="20"/>
          <w:color w:val="auto"/>
        </w:rPr>
      </w:pPr>
      <w:r>
        <w:rPr>
          <w:rFonts w:ascii="Courier New" w:cs="Courier New" w:eastAsia="Courier New" w:hAnsi="Courier New"/>
          <w:sz w:val="16"/>
          <w:szCs w:val="16"/>
          <w:color w:val="auto"/>
        </w:rPr>
        <w:t>Sanders Indoor Comfort LLC - South Carolina</w:t>
      </w:r>
    </w:p>
    <w:p>
      <w:pPr>
        <w:ind w:left="7"/>
        <w:spacing w:after="0" w:line="237" w:lineRule="auto"/>
        <w:rPr>
          <w:sz w:val="20"/>
          <w:szCs w:val="20"/>
          <w:color w:val="auto"/>
        </w:rPr>
      </w:pPr>
      <w:r>
        <w:rPr>
          <w:rFonts w:ascii="Courier New" w:cs="Courier New" w:eastAsia="Courier New" w:hAnsi="Courier New"/>
          <w:sz w:val="16"/>
          <w:szCs w:val="16"/>
          <w:color w:val="auto"/>
        </w:rPr>
        <w:t>Sanders Service Experts, Inc. - Tennessee</w:t>
      </w:r>
    </w:p>
    <w:p>
      <w:pPr>
        <w:ind w:left="7"/>
        <w:spacing w:after="0" w:line="237" w:lineRule="auto"/>
        <w:rPr>
          <w:sz w:val="20"/>
          <w:szCs w:val="20"/>
          <w:color w:val="auto"/>
        </w:rPr>
      </w:pPr>
      <w:r>
        <w:rPr>
          <w:rFonts w:ascii="Courier New" w:cs="Courier New" w:eastAsia="Courier New" w:hAnsi="Courier New"/>
          <w:sz w:val="16"/>
          <w:szCs w:val="16"/>
          <w:color w:val="auto"/>
        </w:rPr>
        <w:t>Sedgwick Heating &amp; Air Conditioning LLC - Minnesota</w:t>
      </w:r>
    </w:p>
    <w:p>
      <w:pPr>
        <w:ind w:left="7"/>
        <w:spacing w:after="0" w:line="237" w:lineRule="auto"/>
        <w:rPr>
          <w:sz w:val="20"/>
          <w:szCs w:val="20"/>
          <w:color w:val="auto"/>
        </w:rPr>
      </w:pPr>
      <w:r>
        <w:rPr>
          <w:rFonts w:ascii="Courier New" w:cs="Courier New" w:eastAsia="Courier New" w:hAnsi="Courier New"/>
          <w:sz w:val="16"/>
          <w:szCs w:val="16"/>
          <w:color w:val="auto"/>
        </w:rPr>
        <w:t>SEITN GP, Inc. - Tennessee</w:t>
      </w:r>
    </w:p>
    <w:p>
      <w:pPr>
        <w:spacing w:after="0" w:line="4" w:lineRule="exact"/>
        <w:rPr>
          <w:sz w:val="20"/>
          <w:szCs w:val="20"/>
          <w:color w:val="auto"/>
        </w:rPr>
      </w:pPr>
    </w:p>
    <w:p>
      <w:pPr>
        <w:ind w:left="7" w:right="4459"/>
        <w:spacing w:after="0" w:line="236" w:lineRule="auto"/>
        <w:rPr>
          <w:sz w:val="20"/>
          <w:szCs w:val="20"/>
          <w:color w:val="auto"/>
        </w:rPr>
      </w:pPr>
      <w:r>
        <w:rPr>
          <w:rFonts w:ascii="Courier New" w:cs="Courier New" w:eastAsia="Courier New" w:hAnsi="Courier New"/>
          <w:sz w:val="16"/>
          <w:szCs w:val="16"/>
          <w:color w:val="auto"/>
        </w:rPr>
        <w:t>Service Experts DFW LLC - Tennessee Service Experts of Arkansas LLC - Arkansas Service Experts of Denver LLC - Colorado Service Experts of Fort Collins LLC - Colorado Service Experts of Imperial Valley, Inc. - California Service Experts of Indiana LLC - Tennessee Service Experts of Memphis LLC - Tennessee</w:t>
      </w:r>
    </w:p>
    <w:p>
      <w:pPr>
        <w:spacing w:after="0" w:line="5" w:lineRule="exact"/>
        <w:rPr>
          <w:sz w:val="20"/>
          <w:szCs w:val="20"/>
          <w:color w:val="auto"/>
        </w:rPr>
      </w:pPr>
    </w:p>
    <w:p>
      <w:pPr>
        <w:ind w:left="7" w:right="4359"/>
        <w:spacing w:after="0" w:line="270" w:lineRule="auto"/>
        <w:rPr>
          <w:sz w:val="20"/>
          <w:szCs w:val="20"/>
          <w:color w:val="auto"/>
        </w:rPr>
      </w:pPr>
      <w:r>
        <w:rPr>
          <w:rFonts w:ascii="Courier New" w:cs="Courier New" w:eastAsia="Courier New" w:hAnsi="Courier New"/>
          <w:sz w:val="14"/>
          <w:szCs w:val="14"/>
          <w:color w:val="auto"/>
        </w:rPr>
        <w:t>Service Experts of Northeast Louisiana LLC - Louisiana Service Experts of Northeast Ohio LLC - Ohio</w:t>
      </w:r>
    </w:p>
    <w:p>
      <w:pPr>
        <w:spacing w:after="0" w:line="1" w:lineRule="exact"/>
        <w:rPr>
          <w:sz w:val="20"/>
          <w:szCs w:val="20"/>
          <w:color w:val="auto"/>
        </w:rPr>
      </w:pPr>
    </w:p>
    <w:p>
      <w:pPr>
        <w:ind w:left="7" w:right="4359"/>
        <w:spacing w:after="0" w:line="234" w:lineRule="auto"/>
        <w:rPr>
          <w:sz w:val="20"/>
          <w:szCs w:val="20"/>
          <w:color w:val="auto"/>
        </w:rPr>
      </w:pPr>
      <w:r>
        <w:rPr>
          <w:rFonts w:ascii="Courier New" w:cs="Courier New" w:eastAsia="Courier New" w:hAnsi="Courier New"/>
          <w:sz w:val="16"/>
          <w:szCs w:val="16"/>
          <w:color w:val="auto"/>
        </w:rPr>
        <w:t>Service Experts of Northwest Louisiana LLC - Louisiana Service Experts of Orange - California</w:t>
      </w:r>
    </w:p>
    <w:p>
      <w:pPr>
        <w:spacing w:after="0" w:line="4" w:lineRule="exact"/>
        <w:rPr>
          <w:sz w:val="20"/>
          <w:szCs w:val="20"/>
          <w:color w:val="auto"/>
        </w:rPr>
      </w:pPr>
    </w:p>
    <w:p>
      <w:pPr>
        <w:ind w:left="7" w:right="4559"/>
        <w:spacing w:after="0" w:line="236" w:lineRule="auto"/>
        <w:rPr>
          <w:sz w:val="20"/>
          <w:szCs w:val="20"/>
          <w:color w:val="auto"/>
        </w:rPr>
      </w:pPr>
      <w:r>
        <w:rPr>
          <w:rFonts w:ascii="Courier New" w:cs="Courier New" w:eastAsia="Courier New" w:hAnsi="Courier New"/>
          <w:sz w:val="16"/>
          <w:szCs w:val="16"/>
          <w:color w:val="auto"/>
        </w:rPr>
        <w:t>Service Experts of Palm Springs, Inc. - California Service Experts of Salt Lake City LLC - Tennessee Service Experts of the Bay Area, Inc. - California Service Experts of the Berkshires LLC - Delaware Service Experts of the Triangle LLC - North Carolina Service Experts of Utah LLC - Delaware Service Experts of Washington LLC - Delaware</w:t>
      </w:r>
    </w:p>
    <w:p>
      <w:pPr>
        <w:ind w:left="7"/>
        <w:spacing w:after="0" w:line="238" w:lineRule="auto"/>
        <w:rPr>
          <w:sz w:val="20"/>
          <w:szCs w:val="20"/>
          <w:color w:val="auto"/>
        </w:rPr>
      </w:pPr>
      <w:r>
        <w:rPr>
          <w:rFonts w:ascii="Courier New" w:cs="Courier New" w:eastAsia="Courier New" w:hAnsi="Courier New"/>
          <w:sz w:val="16"/>
          <w:szCs w:val="16"/>
          <w:color w:val="auto"/>
        </w:rPr>
        <w:t>Service Experts, LLC - Florida</w:t>
      </w:r>
    </w:p>
    <w:p>
      <w:pPr>
        <w:ind w:left="7"/>
        <w:spacing w:after="0" w:line="236" w:lineRule="auto"/>
        <w:rPr>
          <w:sz w:val="20"/>
          <w:szCs w:val="20"/>
          <w:color w:val="auto"/>
        </w:rPr>
      </w:pPr>
      <w:r>
        <w:rPr>
          <w:rFonts w:ascii="Courier New" w:cs="Courier New" w:eastAsia="Courier New" w:hAnsi="Courier New"/>
          <w:sz w:val="16"/>
          <w:szCs w:val="16"/>
          <w:color w:val="auto"/>
        </w:rPr>
        <w:t>Service Now, Inc. - California</w:t>
      </w:r>
    </w:p>
    <w:p>
      <w:pPr>
        <w:ind w:left="7"/>
        <w:spacing w:after="0" w:line="237" w:lineRule="auto"/>
        <w:rPr>
          <w:sz w:val="20"/>
          <w:szCs w:val="20"/>
          <w:color w:val="auto"/>
        </w:rPr>
      </w:pPr>
      <w:r>
        <w:rPr>
          <w:rFonts w:ascii="Courier New" w:cs="Courier New" w:eastAsia="Courier New" w:hAnsi="Courier New"/>
          <w:sz w:val="16"/>
          <w:szCs w:val="16"/>
          <w:color w:val="auto"/>
        </w:rPr>
        <w:t>Shumate Mechanical LLC - Georgia</w:t>
      </w:r>
    </w:p>
    <w:p>
      <w:pPr>
        <w:ind w:left="7"/>
        <w:spacing w:after="0" w:line="237" w:lineRule="auto"/>
        <w:rPr>
          <w:sz w:val="20"/>
          <w:szCs w:val="20"/>
          <w:color w:val="auto"/>
        </w:rPr>
      </w:pPr>
      <w:r>
        <w:rPr>
          <w:rFonts w:ascii="Courier New" w:cs="Courier New" w:eastAsia="Courier New" w:hAnsi="Courier New"/>
          <w:sz w:val="16"/>
          <w:szCs w:val="16"/>
          <w:color w:val="auto"/>
        </w:rPr>
        <w:t>Steel City Heating &amp; Air LLC - Alabama</w:t>
      </w:r>
    </w:p>
    <w:p>
      <w:pPr>
        <w:ind w:left="7"/>
        <w:spacing w:after="0" w:line="237" w:lineRule="auto"/>
        <w:rPr>
          <w:sz w:val="20"/>
          <w:szCs w:val="20"/>
          <w:color w:val="auto"/>
        </w:rPr>
      </w:pPr>
      <w:r>
        <w:rPr>
          <w:rFonts w:ascii="Courier New" w:cs="Courier New" w:eastAsia="Courier New" w:hAnsi="Courier New"/>
          <w:sz w:val="16"/>
          <w:szCs w:val="16"/>
          <w:color w:val="auto"/>
        </w:rPr>
        <w:t>Strand Brothers LLC - Tennessee</w:t>
      </w:r>
    </w:p>
    <w:p>
      <w:pPr>
        <w:ind w:left="7"/>
        <w:spacing w:after="0" w:line="237" w:lineRule="auto"/>
        <w:rPr>
          <w:sz w:val="20"/>
          <w:szCs w:val="20"/>
          <w:color w:val="auto"/>
        </w:rPr>
      </w:pPr>
      <w:r>
        <w:rPr>
          <w:rFonts w:ascii="Courier New" w:cs="Courier New" w:eastAsia="Courier New" w:hAnsi="Courier New"/>
          <w:sz w:val="16"/>
          <w:szCs w:val="16"/>
          <w:color w:val="auto"/>
        </w:rPr>
        <w:t>Strogen's HVAC LLC - New Hampshire</w:t>
      </w:r>
    </w:p>
    <w:p>
      <w:pPr>
        <w:ind w:left="7"/>
        <w:spacing w:after="0" w:line="237" w:lineRule="auto"/>
        <w:rPr>
          <w:sz w:val="20"/>
          <w:szCs w:val="20"/>
          <w:color w:val="auto"/>
        </w:rPr>
      </w:pPr>
      <w:r>
        <w:rPr>
          <w:rFonts w:ascii="Courier New" w:cs="Courier New" w:eastAsia="Courier New" w:hAnsi="Courier New"/>
          <w:sz w:val="16"/>
          <w:szCs w:val="16"/>
          <w:color w:val="auto"/>
        </w:rPr>
        <w:t>Sunbeam Service Experts LLC - New York</w:t>
      </w:r>
    </w:p>
    <w:p>
      <w:pPr>
        <w:ind w:left="7"/>
        <w:spacing w:after="0" w:line="237" w:lineRule="auto"/>
        <w:rPr>
          <w:sz w:val="20"/>
          <w:szCs w:val="20"/>
          <w:color w:val="auto"/>
        </w:rPr>
      </w:pPr>
      <w:r>
        <w:rPr>
          <w:rFonts w:ascii="Courier New" w:cs="Courier New" w:eastAsia="Courier New" w:hAnsi="Courier New"/>
          <w:sz w:val="16"/>
          <w:szCs w:val="16"/>
          <w:color w:val="auto"/>
        </w:rPr>
        <w:t>Sunset Service Experts LLC - New York</w:t>
      </w:r>
    </w:p>
    <w:p>
      <w:pPr>
        <w:ind w:left="7"/>
        <w:spacing w:after="0" w:line="237" w:lineRule="auto"/>
        <w:rPr>
          <w:sz w:val="20"/>
          <w:szCs w:val="20"/>
          <w:color w:val="auto"/>
        </w:rPr>
      </w:pPr>
      <w:r>
        <w:rPr>
          <w:rFonts w:ascii="Courier New" w:cs="Courier New" w:eastAsia="Courier New" w:hAnsi="Courier New"/>
          <w:sz w:val="16"/>
          <w:szCs w:val="16"/>
          <w:color w:val="auto"/>
        </w:rPr>
        <w:t>Sylvester's LLC - Tennessee</w:t>
      </w:r>
    </w:p>
    <w:p>
      <w:pPr>
        <w:spacing w:after="0" w:line="4" w:lineRule="exact"/>
        <w:rPr>
          <w:sz w:val="20"/>
          <w:szCs w:val="20"/>
          <w:color w:val="auto"/>
        </w:rPr>
      </w:pPr>
    </w:p>
    <w:p>
      <w:pPr>
        <w:ind w:left="7" w:right="4559"/>
        <w:spacing w:after="0" w:line="235" w:lineRule="auto"/>
        <w:rPr>
          <w:sz w:val="20"/>
          <w:szCs w:val="20"/>
          <w:color w:val="auto"/>
        </w:rPr>
      </w:pPr>
      <w:r>
        <w:rPr>
          <w:rFonts w:ascii="Courier New" w:cs="Courier New" w:eastAsia="Courier New" w:hAnsi="Courier New"/>
          <w:sz w:val="16"/>
          <w:szCs w:val="16"/>
          <w:color w:val="auto"/>
        </w:rPr>
        <w:t>Teays Valley Heating and Cooling LLC - West Virginia The McElroy Service Co. LLC - Nebraska TML LLC - Idaho</w:t>
      </w:r>
    </w:p>
    <w:p>
      <w:pPr>
        <w:ind w:left="7"/>
        <w:spacing w:after="0" w:line="237" w:lineRule="auto"/>
        <w:rPr>
          <w:sz w:val="20"/>
          <w:szCs w:val="20"/>
          <w:color w:val="auto"/>
        </w:rPr>
      </w:pPr>
      <w:r>
        <w:rPr>
          <w:rFonts w:ascii="Courier New" w:cs="Courier New" w:eastAsia="Courier New" w:hAnsi="Courier New"/>
          <w:sz w:val="16"/>
          <w:szCs w:val="16"/>
          <w:color w:val="auto"/>
        </w:rPr>
        <w:t>Triton Mechanical LLC - New York</w:t>
      </w:r>
    </w:p>
    <w:p>
      <w:pPr>
        <w:ind w:left="7"/>
        <w:spacing w:after="0" w:line="237" w:lineRule="auto"/>
        <w:rPr>
          <w:sz w:val="20"/>
          <w:szCs w:val="20"/>
          <w:color w:val="auto"/>
        </w:rPr>
      </w:pPr>
      <w:r>
        <w:rPr>
          <w:rFonts w:ascii="Courier New" w:cs="Courier New" w:eastAsia="Courier New" w:hAnsi="Courier New"/>
          <w:sz w:val="16"/>
          <w:szCs w:val="16"/>
          <w:color w:val="auto"/>
        </w:rPr>
        <w:t>Valentine Heating &amp; Air Conditioning LLC - Georgia</w:t>
      </w:r>
    </w:p>
    <w:p>
      <w:pPr>
        <w:spacing w:after="0" w:line="4" w:lineRule="exact"/>
        <w:rPr>
          <w:sz w:val="20"/>
          <w:szCs w:val="20"/>
          <w:color w:val="auto"/>
        </w:rPr>
      </w:pPr>
    </w:p>
    <w:p>
      <w:pPr>
        <w:ind w:left="7" w:right="4079"/>
        <w:spacing w:after="0" w:line="234" w:lineRule="auto"/>
        <w:rPr>
          <w:sz w:val="20"/>
          <w:szCs w:val="20"/>
          <w:color w:val="auto"/>
        </w:rPr>
      </w:pPr>
      <w:r>
        <w:rPr>
          <w:rFonts w:ascii="Courier New" w:cs="Courier New" w:eastAsia="Courier New" w:hAnsi="Courier New"/>
          <w:sz w:val="16"/>
          <w:szCs w:val="16"/>
          <w:color w:val="auto"/>
        </w:rPr>
        <w:t>Vogt Heating, Air Conditioning &amp; Plumbing LLC - Minnesota Wesley G. Wood LLC - Pennsylvania</w:t>
      </w:r>
    </w:p>
    <w:p>
      <w:pPr>
        <w:spacing w:after="0" w:line="200" w:lineRule="exact"/>
        <w:rPr>
          <w:sz w:val="20"/>
          <w:szCs w:val="20"/>
          <w:color w:val="auto"/>
        </w:rPr>
      </w:pPr>
    </w:p>
    <w:p>
      <w:pPr>
        <w:spacing w:after="0" w:line="341" w:lineRule="exact"/>
        <w:rPr>
          <w:sz w:val="20"/>
          <w:szCs w:val="20"/>
          <w:color w:val="auto"/>
        </w:rPr>
      </w:pPr>
    </w:p>
    <w:p>
      <w:pPr>
        <w:ind w:left="367" w:right="3059" w:hanging="367"/>
        <w:spacing w:after="0" w:line="234" w:lineRule="auto"/>
        <w:tabs>
          <w:tab w:leader="none" w:pos="36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membership interest owned by class B member/employee as bona fide company representative for state licensing purposes.</w:t>
      </w:r>
    </w:p>
    <w:p>
      <w:pPr>
        <w:sectPr>
          <w:pgSz w:w="11900" w:h="16838" w:orient="portrait"/>
          <w:cols w:equalWidth="0" w:num="1">
            <w:col w:w="9387"/>
          </w:cols>
          <w:pgMar w:left="1073" w:top="827" w:right="1440" w:bottom="1440" w:gutter="0" w:footer="0" w:header="0"/>
        </w:sectPr>
      </w:pPr>
    </w:p>
    <w:bookmarkStart w:id="145" w:name="page146"/>
    <w:bookmarkEnd w:id="145"/>
    <w:p>
      <w:pPr>
        <w:jc w:val="center"/>
        <w:ind w:right="2699"/>
        <w:spacing w:after="0"/>
        <w:rPr>
          <w:sz w:val="20"/>
          <w:szCs w:val="20"/>
          <w:color w:val="auto"/>
        </w:rPr>
      </w:pPr>
      <w:r>
        <w:rPr>
          <w:rFonts w:ascii="Courier New" w:cs="Courier New" w:eastAsia="Courier New" w:hAnsi="Courier New"/>
          <w:sz w:val="16"/>
          <w:szCs w:val="16"/>
          <w:color w:val="auto"/>
        </w:rPr>
        <w:t>ANNEX C</w:t>
      </w:r>
    </w:p>
    <w:p>
      <w:pPr>
        <w:jc w:val="center"/>
        <w:ind w:right="2799"/>
        <w:spacing w:after="0" w:line="236" w:lineRule="auto"/>
        <w:rPr>
          <w:sz w:val="20"/>
          <w:szCs w:val="20"/>
          <w:color w:val="auto"/>
        </w:rPr>
      </w:pPr>
      <w:r>
        <w:rPr>
          <w:rFonts w:ascii="Courier New" w:cs="Courier New" w:eastAsia="Courier New" w:hAnsi="Courier New"/>
          <w:sz w:val="16"/>
          <w:szCs w:val="16"/>
          <w:color w:val="auto"/>
        </w:rPr>
        <w:t>TO</w:t>
      </w:r>
    </w:p>
    <w:p>
      <w:pPr>
        <w:jc w:val="center"/>
        <w:ind w:right="279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LENNOX CANADA INC. SUBSIDIARIES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all organized in Canada and owned 100% by Lennox Canada Inc.:</w:t>
      </w:r>
    </w:p>
    <w:p>
      <w:pPr>
        <w:spacing w:after="0" w:line="19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Arpi's Industries Canada Ltd.</w:t>
      </w:r>
    </w:p>
    <w:p>
      <w:pPr>
        <w:ind w:left="1660"/>
        <w:spacing w:after="0" w:line="236" w:lineRule="auto"/>
        <w:rPr>
          <w:sz w:val="20"/>
          <w:szCs w:val="20"/>
          <w:color w:val="auto"/>
        </w:rPr>
      </w:pPr>
      <w:r>
        <w:rPr>
          <w:rFonts w:ascii="Courier New" w:cs="Courier New" w:eastAsia="Courier New" w:hAnsi="Courier New"/>
          <w:sz w:val="16"/>
          <w:szCs w:val="16"/>
          <w:color w:val="auto"/>
        </w:rPr>
        <w:t>Arpi's Holdings Ltd.</w:t>
      </w:r>
    </w:p>
    <w:p>
      <w:pPr>
        <w:ind w:left="1660"/>
        <w:spacing w:after="0" w:line="237" w:lineRule="auto"/>
        <w:rPr>
          <w:sz w:val="20"/>
          <w:szCs w:val="20"/>
          <w:color w:val="auto"/>
        </w:rPr>
      </w:pPr>
      <w:r>
        <w:rPr>
          <w:rFonts w:ascii="Courier New" w:cs="Courier New" w:eastAsia="Courier New" w:hAnsi="Courier New"/>
          <w:sz w:val="16"/>
          <w:szCs w:val="16"/>
          <w:color w:val="auto"/>
        </w:rPr>
        <w:t>Advance Mechanical Ltd.</w:t>
      </w:r>
    </w:p>
    <w:p>
      <w:pPr>
        <w:ind w:left="840"/>
        <w:spacing w:after="0" w:line="237" w:lineRule="auto"/>
        <w:rPr>
          <w:sz w:val="20"/>
          <w:szCs w:val="20"/>
          <w:color w:val="auto"/>
        </w:rPr>
      </w:pPr>
      <w:r>
        <w:rPr>
          <w:rFonts w:ascii="Courier New" w:cs="Courier New" w:eastAsia="Courier New" w:hAnsi="Courier New"/>
          <w:sz w:val="16"/>
          <w:szCs w:val="16"/>
          <w:color w:val="auto"/>
        </w:rPr>
        <w:t>Bradley Air Conditioning Limited</w:t>
      </w:r>
    </w:p>
    <w:p>
      <w:pPr>
        <w:ind w:left="840"/>
        <w:spacing w:after="0" w:line="237" w:lineRule="auto"/>
        <w:rPr>
          <w:sz w:val="20"/>
          <w:szCs w:val="20"/>
          <w:color w:val="auto"/>
        </w:rPr>
      </w:pPr>
      <w:r>
        <w:rPr>
          <w:rFonts w:ascii="Courier New" w:cs="Courier New" w:eastAsia="Courier New" w:hAnsi="Courier New"/>
          <w:sz w:val="16"/>
          <w:szCs w:val="16"/>
          <w:color w:val="auto"/>
        </w:rPr>
        <w:t>Bryant Heating &amp; Cooling Co. Ltd.</w:t>
      </w:r>
    </w:p>
    <w:p>
      <w:pPr>
        <w:ind w:left="840"/>
        <w:spacing w:after="0" w:line="237" w:lineRule="auto"/>
        <w:rPr>
          <w:sz w:val="20"/>
          <w:szCs w:val="20"/>
          <w:color w:val="auto"/>
        </w:rPr>
      </w:pPr>
      <w:r>
        <w:rPr>
          <w:rFonts w:ascii="Courier New" w:cs="Courier New" w:eastAsia="Courier New" w:hAnsi="Courier New"/>
          <w:sz w:val="16"/>
          <w:szCs w:val="16"/>
          <w:color w:val="auto"/>
        </w:rPr>
        <w:t>Bryant Newco Inc.</w:t>
      </w:r>
    </w:p>
    <w:p>
      <w:pPr>
        <w:ind w:left="840"/>
        <w:spacing w:after="0" w:line="237" w:lineRule="auto"/>
        <w:rPr>
          <w:sz w:val="20"/>
          <w:szCs w:val="20"/>
          <w:color w:val="auto"/>
        </w:rPr>
      </w:pPr>
      <w:r>
        <w:rPr>
          <w:rFonts w:ascii="Courier New" w:cs="Courier New" w:eastAsia="Courier New" w:hAnsi="Courier New"/>
          <w:sz w:val="16"/>
          <w:szCs w:val="16"/>
          <w:color w:val="auto"/>
        </w:rPr>
        <w:t>Dearie Contracting Inc.</w:t>
      </w:r>
    </w:p>
    <w:p>
      <w:pPr>
        <w:ind w:left="840"/>
        <w:spacing w:after="0" w:line="237" w:lineRule="auto"/>
        <w:rPr>
          <w:sz w:val="20"/>
          <w:szCs w:val="20"/>
          <w:color w:val="auto"/>
        </w:rPr>
      </w:pPr>
      <w:r>
        <w:rPr>
          <w:rFonts w:ascii="Courier New" w:cs="Courier New" w:eastAsia="Courier New" w:hAnsi="Courier New"/>
          <w:sz w:val="16"/>
          <w:szCs w:val="16"/>
          <w:color w:val="auto"/>
        </w:rPr>
        <w:t>Dearie Contracting Ottawa Inc.</w:t>
      </w:r>
    </w:p>
    <w:p>
      <w:pPr>
        <w:ind w:left="840"/>
        <w:spacing w:after="0" w:line="237" w:lineRule="auto"/>
        <w:rPr>
          <w:sz w:val="20"/>
          <w:szCs w:val="20"/>
          <w:color w:val="auto"/>
        </w:rPr>
      </w:pPr>
      <w:r>
        <w:rPr>
          <w:rFonts w:ascii="Courier New" w:cs="Courier New" w:eastAsia="Courier New" w:hAnsi="Courier New"/>
          <w:sz w:val="16"/>
          <w:szCs w:val="16"/>
          <w:color w:val="auto"/>
        </w:rPr>
        <w:t>Dearie Martino Contractors Ltd.</w:t>
      </w:r>
    </w:p>
    <w:p>
      <w:pPr>
        <w:ind w:left="840"/>
        <w:spacing w:after="0" w:line="236" w:lineRule="auto"/>
        <w:rPr>
          <w:sz w:val="20"/>
          <w:szCs w:val="20"/>
          <w:color w:val="auto"/>
        </w:rPr>
      </w:pPr>
      <w:r>
        <w:rPr>
          <w:rFonts w:ascii="Courier New" w:cs="Courier New" w:eastAsia="Courier New" w:hAnsi="Courier New"/>
          <w:sz w:val="16"/>
          <w:szCs w:val="16"/>
          <w:color w:val="auto"/>
        </w:rPr>
        <w:t>Fahrhall Mechanical Contractors Limited</w:t>
      </w:r>
    </w:p>
    <w:p>
      <w:pPr>
        <w:ind w:left="840"/>
        <w:spacing w:after="0" w:line="237" w:lineRule="auto"/>
        <w:rPr>
          <w:sz w:val="20"/>
          <w:szCs w:val="20"/>
          <w:color w:val="auto"/>
        </w:rPr>
      </w:pPr>
      <w:r>
        <w:rPr>
          <w:rFonts w:ascii="Courier New" w:cs="Courier New" w:eastAsia="Courier New" w:hAnsi="Courier New"/>
          <w:sz w:val="16"/>
          <w:szCs w:val="16"/>
          <w:color w:val="auto"/>
        </w:rPr>
        <w:t>Foster Air Conditioning Ltd.</w:t>
      </w:r>
    </w:p>
    <w:p>
      <w:pPr>
        <w:ind w:left="840"/>
        <w:spacing w:after="0" w:line="237" w:lineRule="auto"/>
        <w:rPr>
          <w:sz w:val="20"/>
          <w:szCs w:val="20"/>
          <w:color w:val="auto"/>
        </w:rPr>
      </w:pPr>
      <w:r>
        <w:rPr>
          <w:rFonts w:ascii="Courier New" w:cs="Courier New" w:eastAsia="Courier New" w:hAnsi="Courier New"/>
          <w:sz w:val="16"/>
          <w:szCs w:val="16"/>
          <w:color w:val="auto"/>
        </w:rPr>
        <w:t>Gaia Enterprises Inc.</w:t>
      </w:r>
    </w:p>
    <w:p>
      <w:pPr>
        <w:ind w:left="1660"/>
        <w:spacing w:after="0" w:line="237" w:lineRule="auto"/>
        <w:rPr>
          <w:sz w:val="20"/>
          <w:szCs w:val="20"/>
          <w:color w:val="auto"/>
        </w:rPr>
      </w:pPr>
      <w:r>
        <w:rPr>
          <w:rFonts w:ascii="Courier New" w:cs="Courier New" w:eastAsia="Courier New" w:hAnsi="Courier New"/>
          <w:sz w:val="16"/>
          <w:szCs w:val="16"/>
          <w:color w:val="auto"/>
        </w:rPr>
        <w:t>Welldone Plumbing Heating &amp; Air Conditioning Ltd.</w:t>
      </w:r>
    </w:p>
    <w:p>
      <w:pPr>
        <w:ind w:left="840"/>
        <w:spacing w:after="0" w:line="237" w:lineRule="auto"/>
        <w:rPr>
          <w:sz w:val="20"/>
          <w:szCs w:val="20"/>
          <w:color w:val="auto"/>
        </w:rPr>
      </w:pPr>
      <w:r>
        <w:rPr>
          <w:rFonts w:ascii="Courier New" w:cs="Courier New" w:eastAsia="Courier New" w:hAnsi="Courier New"/>
          <w:sz w:val="16"/>
          <w:szCs w:val="16"/>
          <w:color w:val="auto"/>
        </w:rPr>
        <w:t>Montwest Air Ltd.</w:t>
      </w:r>
    </w:p>
    <w:p>
      <w:pPr>
        <w:ind w:left="840"/>
        <w:spacing w:after="0" w:line="237" w:lineRule="auto"/>
        <w:rPr>
          <w:sz w:val="20"/>
          <w:szCs w:val="20"/>
          <w:color w:val="auto"/>
        </w:rPr>
      </w:pPr>
      <w:r>
        <w:rPr>
          <w:rFonts w:ascii="Courier New" w:cs="Courier New" w:eastAsia="Courier New" w:hAnsi="Courier New"/>
          <w:sz w:val="16"/>
          <w:szCs w:val="16"/>
          <w:color w:val="auto"/>
        </w:rPr>
        <w:t>Overland RNC Inc.</w:t>
      </w:r>
    </w:p>
    <w:p>
      <w:pPr>
        <w:ind w:left="840"/>
        <w:spacing w:after="0" w:line="237" w:lineRule="auto"/>
        <w:rPr>
          <w:sz w:val="20"/>
          <w:szCs w:val="20"/>
          <w:color w:val="auto"/>
        </w:rPr>
      </w:pPr>
      <w:r>
        <w:rPr>
          <w:rFonts w:ascii="Courier New" w:cs="Courier New" w:eastAsia="Courier New" w:hAnsi="Courier New"/>
          <w:sz w:val="16"/>
          <w:szCs w:val="16"/>
          <w:color w:val="auto"/>
        </w:rPr>
        <w:t>Valley Refrigeration Limited</w:t>
      </w:r>
    </w:p>
    <w:p>
      <w:pPr>
        <w:sectPr>
          <w:pgSz w:w="11900" w:h="16838" w:orient="portrait"/>
          <w:cols w:equalWidth="0" w:num="1">
            <w:col w:w="10219"/>
          </w:cols>
          <w:pgMar w:left="240" w:top="1185" w:right="1440" w:bottom="1440" w:gutter="0" w:footer="0" w:header="0"/>
        </w:sectPr>
      </w:pPr>
    </w:p>
    <w:bookmarkStart w:id="146" w:name="page147"/>
    <w:bookmarkEnd w:id="146"/>
    <w:p>
      <w:pPr>
        <w:jc w:val="center"/>
        <w:ind w:right="3899"/>
        <w:spacing w:after="0"/>
        <w:rPr>
          <w:sz w:val="20"/>
          <w:szCs w:val="20"/>
          <w:color w:val="auto"/>
        </w:rPr>
      </w:pPr>
      <w:r>
        <w:rPr>
          <w:rFonts w:ascii="Courier New" w:cs="Courier New" w:eastAsia="Courier New" w:hAnsi="Courier New"/>
          <w:sz w:val="16"/>
          <w:szCs w:val="16"/>
          <w:color w:val="auto"/>
        </w:rPr>
        <w:t>ANNEX D</w:t>
      </w:r>
    </w:p>
    <w:p>
      <w:pPr>
        <w:jc w:val="center"/>
        <w:ind w:right="3979"/>
        <w:spacing w:after="0" w:line="236" w:lineRule="auto"/>
        <w:rPr>
          <w:sz w:val="20"/>
          <w:szCs w:val="20"/>
          <w:color w:val="auto"/>
        </w:rPr>
      </w:pPr>
      <w:r>
        <w:rPr>
          <w:rFonts w:ascii="Courier New" w:cs="Courier New" w:eastAsia="Courier New" w:hAnsi="Courier New"/>
          <w:sz w:val="16"/>
          <w:szCs w:val="16"/>
          <w:color w:val="auto"/>
        </w:rPr>
        <w:t>TO</w:t>
      </w:r>
    </w:p>
    <w:p>
      <w:pPr>
        <w:jc w:val="center"/>
        <w:ind w:right="397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LENNOX GLOBAL LTD.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4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OWNERSHIP</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w w:val="95"/>
              </w:rPr>
              <w:t>JURISDICTION OF INC.</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3440" w:type="dxa"/>
            <w:vAlign w:val="bottom"/>
          </w:tcPr>
          <w:p>
            <w:pPr>
              <w:spacing w:after="0"/>
              <w:rPr>
                <w:sz w:val="20"/>
                <w:szCs w:val="20"/>
                <w:color w:val="auto"/>
              </w:rPr>
            </w:pPr>
            <w:r>
              <w:rPr>
                <w:rFonts w:ascii="Courier New" w:cs="Courier New" w:eastAsia="Courier New" w:hAnsi="Courier New"/>
                <w:sz w:val="16"/>
                <w:szCs w:val="16"/>
                <w:color w:val="auto"/>
              </w:rPr>
              <w:t>Heatcraft Refrigeration Asia Pte</w:t>
            </w:r>
          </w:p>
        </w:tc>
        <w:tc>
          <w:tcPr>
            <w:tcW w:w="1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Ltd.</w:t>
            </w:r>
          </w:p>
        </w:tc>
        <w:tc>
          <w:tcPr>
            <w:tcW w:w="15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Rep. of Singapore</w:t>
            </w:r>
          </w:p>
        </w:tc>
      </w:tr>
      <w:tr>
        <w:trPr>
          <w:trHeight w:val="179"/>
        </w:trPr>
        <w:tc>
          <w:tcPr>
            <w:tcW w:w="34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Lennox Global (Wuxi) Co. Ltd.</w:t>
            </w:r>
          </w:p>
        </w:tc>
        <w:tc>
          <w:tcPr>
            <w:tcW w:w="15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China</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LGL Europe Holding Co.</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34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SEE ANNEX E</w:t>
            </w: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UK Industries, Inc.</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Delaware</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LGL de Mexico, S.A. de C.V.</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99%</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Mexico</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Lennox Participacoes Ltda.</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99%</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Brazil</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Frigo-Bohn do Brasil Ltda.</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1%</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Brazil</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Strong LGL Dominicana, S.A.</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Dominican Republic</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LGL Belgium S.P.R.L.</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0.4%</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Belgium</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LGL Australia (US) Inc.</w:t>
            </w:r>
          </w:p>
        </w:tc>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20"/>
              <w:spacing w:after="0"/>
              <w:rPr>
                <w:sz w:val="20"/>
                <w:szCs w:val="20"/>
                <w:color w:val="auto"/>
              </w:rPr>
            </w:pPr>
            <w:r>
              <w:rPr>
                <w:rFonts w:ascii="Courier New" w:cs="Courier New" w:eastAsia="Courier New" w:hAnsi="Courier New"/>
                <w:sz w:val="16"/>
                <w:szCs w:val="16"/>
                <w:color w:val="auto"/>
              </w:rPr>
              <w:t>Delaware</w:t>
            </w:r>
          </w:p>
        </w:tc>
      </w:tr>
      <w:tr>
        <w:trPr>
          <w:trHeight w:val="179"/>
        </w:trPr>
        <w:tc>
          <w:tcPr>
            <w:tcW w:w="34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SEE ANNEX F</w:t>
            </w: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ectPr>
          <w:pgSz w:w="11900" w:h="16838" w:orient="portrait"/>
          <w:cols w:equalWidth="0" w:num="1">
            <w:col w:w="9019"/>
          </w:cols>
          <w:pgMar w:left="1440" w:top="1006" w:right="1440" w:bottom="1440" w:gutter="0" w:footer="0" w:header="0"/>
        </w:sectPr>
      </w:pPr>
    </w:p>
    <w:bookmarkStart w:id="147" w:name="page148"/>
    <w:bookmarkEnd w:id="147"/>
    <w:p>
      <w:pPr>
        <w:jc w:val="center"/>
        <w:ind w:right="2699"/>
        <w:spacing w:after="0"/>
        <w:rPr>
          <w:sz w:val="20"/>
          <w:szCs w:val="20"/>
          <w:color w:val="auto"/>
        </w:rPr>
      </w:pPr>
      <w:r>
        <w:rPr>
          <w:rFonts w:ascii="Courier New" w:cs="Courier New" w:eastAsia="Courier New" w:hAnsi="Courier New"/>
          <w:sz w:val="16"/>
          <w:szCs w:val="16"/>
          <w:color w:val="auto"/>
        </w:rPr>
        <w:t>ANNEX E</w:t>
      </w:r>
    </w:p>
    <w:p>
      <w:pPr>
        <w:jc w:val="center"/>
        <w:ind w:right="2779"/>
        <w:spacing w:after="0" w:line="236" w:lineRule="auto"/>
        <w:rPr>
          <w:sz w:val="20"/>
          <w:szCs w:val="20"/>
          <w:color w:val="auto"/>
        </w:rPr>
      </w:pPr>
      <w:r>
        <w:rPr>
          <w:rFonts w:ascii="Courier New" w:cs="Courier New" w:eastAsia="Courier New" w:hAnsi="Courier New"/>
          <w:sz w:val="16"/>
          <w:szCs w:val="16"/>
          <w:color w:val="auto"/>
        </w:rPr>
        <w:t>TO</w:t>
      </w:r>
    </w:p>
    <w:p>
      <w:pPr>
        <w:jc w:val="center"/>
        <w:ind w:right="277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LGL EUROPE HOLDING CO.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OWNERSHIP</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JURISDICTION OF INC.</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100" w:type="dxa"/>
            <w:vAlign w:val="bottom"/>
          </w:tcPr>
          <w:p>
            <w:pPr>
              <w:ind w:left="940"/>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LGL Holland B.V.</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Netherlands</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Ets. Brancher S.A.</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France</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LGL France S.A.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France</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LGL Refrigeration UK Ltd.</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United Kingdom</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Hyfra Ind. GmbH</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0.1%</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Germany</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LGL Germany GmbH</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Germany</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LGL Deutschland GmbH</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Germany</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Hyfra Ind. GmbH</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99.9%</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Germany</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Deutschland GmbH</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Germany</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Lennox Global Spain S.L.</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Spain</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LGL Refrigeration Spain S.A.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Spain</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Aldo Marine</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65%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Spain</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Refac, S.A.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Spain</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Redi sur Andalucia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70%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Spain</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Lennox Climatizacao Lda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Portugal</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LGL Refrigeration Italia s.r.l.</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99%</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Italy</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LGL Polska Spzoo</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Poland</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LGL Belgium S.P.R.L.</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99.6%</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Belgium</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Lennox Benelux B.V.</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Netherlands</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Benelux N.V.</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Belgium</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Zao</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Russia</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HCF Lennox Ltd.</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United Kingdom</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Lennox Industries (UK)</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99.6%</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United Kingdom</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Environheat Limited</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United Kingdom</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Lennox Janka a.s.</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Czech Republic</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Janka Slovensko S.R.O.</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Slovak Republic</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Ecoclima</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Czech Republic</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Outokumpu Heatcraft BV</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45%</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Netherlands</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Heatcraft France SAS</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France</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Heatcraft Italia s.r.l.</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20%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Italy</w:t>
            </w:r>
          </w:p>
        </w:tc>
      </w:tr>
      <w:tr>
        <w:trPr>
          <w:trHeight w:val="179"/>
        </w:trPr>
        <w:tc>
          <w:tcPr>
            <w:tcW w:w="436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Heatcraft Prague S.R.O.</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0.01%</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Czech Republic</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Heatcraft Italia s.r.l.</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80%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Italy</w:t>
            </w:r>
          </w:p>
        </w:tc>
      </w:tr>
      <w:tr>
        <w:trPr>
          <w:trHeight w:val="179"/>
        </w:trPr>
        <w:tc>
          <w:tcPr>
            <w:tcW w:w="436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Heatcraft Prague S.R.O.</w:t>
            </w:r>
          </w:p>
        </w:tc>
        <w:tc>
          <w:tcPr>
            <w:tcW w:w="21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99.99%</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Czech Republic</w:t>
            </w:r>
          </w:p>
        </w:tc>
      </w:tr>
      <w:tr>
        <w:trPr>
          <w:trHeight w:val="358"/>
        </w:trPr>
        <w:tc>
          <w:tcPr>
            <w:tcW w:w="4360" w:type="dxa"/>
            <w:vAlign w:val="bottom"/>
          </w:tcPr>
          <w:p>
            <w:pPr>
              <w:ind w:left="460"/>
              <w:spacing w:after="0"/>
              <w:rPr>
                <w:sz w:val="20"/>
                <w:szCs w:val="20"/>
                <w:color w:val="auto"/>
              </w:rPr>
            </w:pPr>
            <w:r>
              <w:rPr>
                <w:rFonts w:ascii="Courier New" w:cs="Courier New" w:eastAsia="Courier New" w:hAnsi="Courier New"/>
                <w:sz w:val="16"/>
                <w:szCs w:val="16"/>
                <w:color w:val="auto"/>
              </w:rPr>
              <w:t>Lennox Zao.</w:t>
            </w:r>
          </w:p>
        </w:tc>
        <w:tc>
          <w:tcPr>
            <w:tcW w:w="2100" w:type="dxa"/>
            <w:vAlign w:val="bottom"/>
          </w:tcPr>
          <w:p>
            <w:pPr>
              <w:ind w:left="760"/>
              <w:spacing w:after="0"/>
              <w:rPr>
                <w:sz w:val="20"/>
                <w:szCs w:val="20"/>
                <w:color w:val="auto"/>
              </w:rPr>
            </w:pPr>
            <w:r>
              <w:rPr>
                <w:rFonts w:ascii="Courier New" w:cs="Courier New" w:eastAsia="Courier New" w:hAnsi="Courier New"/>
                <w:sz w:val="16"/>
                <w:szCs w:val="16"/>
                <w:color w:val="auto"/>
              </w:rPr>
              <w:t>99%</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Russia</w:t>
            </w:r>
          </w:p>
        </w:tc>
      </w:tr>
    </w:tbl>
    <w:p>
      <w:pPr>
        <w:sectPr>
          <w:pgSz w:w="11900" w:h="16838" w:orient="portrait"/>
          <w:cols w:equalWidth="0" w:num="1">
            <w:col w:w="10219"/>
          </w:cols>
          <w:pgMar w:left="240" w:top="1006" w:right="1440" w:bottom="1440" w:gutter="0" w:footer="0" w:header="0"/>
        </w:sectPr>
      </w:pPr>
    </w:p>
    <w:bookmarkStart w:id="148" w:name="page149"/>
    <w:bookmarkEnd w:id="148"/>
    <w:p>
      <w:pPr>
        <w:jc w:val="center"/>
        <w:ind w:right="2699"/>
        <w:spacing w:after="0"/>
        <w:rPr>
          <w:sz w:val="20"/>
          <w:szCs w:val="20"/>
          <w:color w:val="auto"/>
        </w:rPr>
      </w:pPr>
      <w:r>
        <w:rPr>
          <w:rFonts w:ascii="Courier New" w:cs="Courier New" w:eastAsia="Courier New" w:hAnsi="Courier New"/>
          <w:sz w:val="16"/>
          <w:szCs w:val="16"/>
          <w:color w:val="auto"/>
        </w:rPr>
        <w:t>ANNEX F</w:t>
      </w:r>
    </w:p>
    <w:p>
      <w:pPr>
        <w:jc w:val="center"/>
        <w:ind w:right="2779"/>
        <w:spacing w:after="0" w:line="236" w:lineRule="auto"/>
        <w:rPr>
          <w:sz w:val="20"/>
          <w:szCs w:val="20"/>
          <w:color w:val="auto"/>
        </w:rPr>
      </w:pPr>
      <w:r>
        <w:rPr>
          <w:rFonts w:ascii="Courier New" w:cs="Courier New" w:eastAsia="Courier New" w:hAnsi="Courier New"/>
          <w:sz w:val="16"/>
          <w:szCs w:val="16"/>
          <w:color w:val="auto"/>
        </w:rPr>
        <w:t>TO</w:t>
      </w:r>
    </w:p>
    <w:p>
      <w:pPr>
        <w:jc w:val="center"/>
        <w:ind w:right="2779"/>
        <w:spacing w:after="0" w:line="237" w:lineRule="auto"/>
        <w:rPr>
          <w:sz w:val="20"/>
          <w:szCs w:val="20"/>
          <w:color w:val="auto"/>
        </w:rPr>
      </w:pPr>
      <w:r>
        <w:rPr>
          <w:rFonts w:ascii="Courier New" w:cs="Courier New" w:eastAsia="Courier New" w:hAnsi="Courier New"/>
          <w:sz w:val="16"/>
          <w:szCs w:val="16"/>
          <w:color w:val="auto"/>
        </w:rPr>
        <w:t>EXHIBIT 21.1</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LGL AUSTRALIA (US) INC.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OWNERSHIP</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JURISDICTION OF INC.</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54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23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LGL Co Pty Ltd</w:t>
            </w:r>
          </w:p>
        </w:tc>
        <w:tc>
          <w:tcPr>
            <w:tcW w:w="1540" w:type="dxa"/>
            <w:vAlign w:val="bottom"/>
          </w:tcPr>
          <w:p>
            <w:pPr>
              <w:ind w:left="200"/>
              <w:spacing w:after="0"/>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LGL Australia Investment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LGL Australia Finance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LGL Australia Finance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90%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LGL Australia Holdings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Lennox Australia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LGL (Australia)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LGL Refrigeration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Kirby Engineering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rPr>
              <w:t>Heatcraft Australia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(Albury)</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(Sunshine Coast)</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(Geelong) Pty</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 (Gold</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Coast)</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(Tasmania)</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(Hobart)</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Refrigeration &amp; Heating Wholesale</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Pty Ltd (Vic)</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Refrigeration &amp; Heating Wholesale</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Pty Ltd (SA)</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R&amp;H Wholesale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Refrigeration Pty Ltd. (NT)</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Tubes &amp; Contract Coils Pty</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Sheet Metal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Central Warehouse Pty Ltd.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Kulthorn Kirby Public Company</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18%</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Kulthorn Control Company</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70%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Thai Sintered Products Co.</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44.4%</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Thailand</w:t>
            </w: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Thai Compressor Manufacturing</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Co.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25.5%</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Thailand</w:t>
            </w: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Kulthorn Kirby Foundry Co.</w:t>
            </w: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9"/>
        </w:trPr>
        <w:tc>
          <w:tcPr>
            <w:tcW w:w="4920" w:type="dxa"/>
            <w:vAlign w:val="bottom"/>
          </w:tcPr>
          <w:p>
            <w:pPr>
              <w:ind w:left="2040"/>
              <w:spacing w:after="0" w:line="179" w:lineRule="exact"/>
              <w:rPr>
                <w:sz w:val="20"/>
                <w:szCs w:val="20"/>
                <w:color w:val="auto"/>
              </w:rPr>
            </w:pPr>
            <w:r>
              <w:rPr>
                <w:rFonts w:ascii="Courier New" w:cs="Courier New" w:eastAsia="Courier New" w:hAnsi="Courier New"/>
                <w:sz w:val="16"/>
                <w:szCs w:val="16"/>
                <w:color w:val="auto"/>
              </w:rPr>
              <w:t>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J.N.K. Pty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P.R.L. Pty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Kirby USA Inc.</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North Carolina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JNK Draughting Pty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P.R.L Sales Pty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Air Safe Pty Limited</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Australia</w:t>
            </w:r>
          </w:p>
        </w:tc>
      </w:tr>
      <w:tr>
        <w:trPr>
          <w:trHeight w:val="179"/>
        </w:trPr>
        <w:tc>
          <w:tcPr>
            <w:tcW w:w="49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James N. Kirby Limited (NZ)</w:t>
            </w:r>
          </w:p>
        </w:tc>
        <w:tc>
          <w:tcPr>
            <w:tcW w:w="15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100%</w:t>
            </w:r>
          </w:p>
        </w:tc>
        <w:tc>
          <w:tcPr>
            <w:tcW w:w="238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New Zealand</w:t>
            </w:r>
          </w:p>
        </w:tc>
      </w:tr>
    </w:tbl>
    <w:p>
      <w:pPr>
        <w:sectPr>
          <w:pgSz w:w="11900" w:h="16838" w:orient="portrait"/>
          <w:cols w:equalWidth="0" w:num="1">
            <w:col w:w="10219"/>
          </w:cols>
          <w:pgMar w:left="240" w:top="1006" w:right="1440" w:bottom="1440" w:gutter="0" w:footer="0" w:header="0"/>
        </w:sectPr>
      </w:pPr>
    </w:p>
    <w:bookmarkStart w:id="149" w:name="page150"/>
    <w:bookmarkEnd w:id="149"/>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Independent Auditor's Consent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and Board of Directors of</w:t>
      </w:r>
    </w:p>
    <w:p>
      <w:pPr>
        <w:spacing w:after="0" w:line="236" w:lineRule="auto"/>
        <w:rPr>
          <w:sz w:val="20"/>
          <w:szCs w:val="20"/>
          <w:color w:val="auto"/>
        </w:rPr>
      </w:pPr>
      <w:r>
        <w:rPr>
          <w:rFonts w:ascii="Courier New" w:cs="Courier New" w:eastAsia="Courier New" w:hAnsi="Courier New"/>
          <w:sz w:val="16"/>
          <w:szCs w:val="16"/>
          <w:color w:val="auto"/>
        </w:rPr>
        <w:t>Lennox International Inc.:</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incorporation by reference in Registration Statement Nos. 333-83961, 333-83959, 333-86989, 333-92389, 333-52046, 333-60122, 333-71416, 333-91128 and 333-91130 on Form S-8, Registration Statement No. 333-91136 on Form S-3 and File No. 333-81555 on Form S-4 of Lennox International Inc. of our report dated October 5, 2004, relating to the consolidated balance sheets of Lennox International Inc. and subsidiaries as of December 31, 2003 and 2002 and the related consolidated statements of operations, stockholders' equity and cash flows for the years ended December 31, 2003 and 2002, and the related financial statement schedule for the years ended December 31, 2003 and 2002, which report is incorporated by reference in the December 31, 2003 annual report on Form 10-K of Lennox International Inc. Our report refers to the restatement of the December 31, 2002 balance sheet and the related consolidated statements of operations, stockholders' equity, and cash flows for the year then ended as discussed in Note 3. Our report refers to the adoption of Statement of Financial Accounting Standard (SFAS) No. 142, "Goodwill and Other Intangible Assets". Our report also refers to the transitional disclosures for 2001 required by SFAS No. 142 and included in Note 2 under the heading "Goodwill and Other Intangible Assets".</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KPMG LLP</w:t>
      </w:r>
    </w:p>
    <w:p>
      <w:pPr>
        <w:spacing w:after="0" w:line="236" w:lineRule="auto"/>
        <w:rPr>
          <w:sz w:val="20"/>
          <w:szCs w:val="20"/>
          <w:color w:val="auto"/>
        </w:rPr>
      </w:pPr>
      <w:r>
        <w:rPr>
          <w:rFonts w:ascii="Courier New" w:cs="Courier New" w:eastAsia="Courier New" w:hAnsi="Courier New"/>
          <w:sz w:val="16"/>
          <w:szCs w:val="16"/>
          <w:color w:val="auto"/>
        </w:rPr>
        <w:t>Dallas, Texas</w:t>
      </w:r>
    </w:p>
    <w:p>
      <w:pPr>
        <w:spacing w:after="0" w:line="237" w:lineRule="auto"/>
        <w:rPr>
          <w:sz w:val="20"/>
          <w:szCs w:val="20"/>
          <w:color w:val="auto"/>
        </w:rPr>
      </w:pPr>
      <w:r>
        <w:rPr>
          <w:rFonts w:ascii="Courier New" w:cs="Courier New" w:eastAsia="Courier New" w:hAnsi="Courier New"/>
          <w:sz w:val="16"/>
          <w:szCs w:val="16"/>
          <w:color w:val="auto"/>
        </w:rPr>
        <w:t>October 5, 2004</w:t>
      </w:r>
    </w:p>
    <w:p>
      <w:pPr>
        <w:sectPr>
          <w:pgSz w:w="11900" w:h="16838" w:orient="portrait"/>
          <w:cols w:equalWidth="0" w:num="1">
            <w:col w:w="10219"/>
          </w:cols>
          <w:pgMar w:left="240" w:top="314"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color w:val="auto"/>
        </w:rPr>
        <w:t>Exhibit 31.1</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color w:val="auto"/>
        </w:rPr>
        <w:t>I, Robert E. Schjerven, certify that:</w:t>
      </w:r>
    </w:p>
    <w:p>
      <w:pPr>
        <w:spacing w:after="0" w:line="198" w:lineRule="exact"/>
        <w:rPr>
          <w:sz w:val="20"/>
          <w:szCs w:val="20"/>
          <w:color w:val="auto"/>
        </w:rPr>
      </w:pPr>
    </w:p>
    <w:p>
      <w:pPr>
        <w:ind w:left="224" w:hanging="224"/>
        <w:spacing w:after="0"/>
        <w:tabs>
          <w:tab w:leader="none" w:pos="2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Lennox International Inc.;</w:t>
      </w:r>
    </w:p>
    <w:p>
      <w:pPr>
        <w:spacing w:after="0" w:line="197" w:lineRule="exact"/>
        <w:rPr>
          <w:rFonts w:ascii="Arial" w:cs="Arial" w:eastAsia="Arial" w:hAnsi="Arial"/>
          <w:sz w:val="16"/>
          <w:szCs w:val="16"/>
          <w:color w:val="auto"/>
        </w:rPr>
      </w:pPr>
    </w:p>
    <w:p>
      <w:pPr>
        <w:ind w:left="224" w:right="160" w:hanging="224"/>
        <w:spacing w:after="0" w:line="274" w:lineRule="auto"/>
        <w:tabs>
          <w:tab w:leader="none" w:pos="2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left="224" w:right="40" w:hanging="224"/>
        <w:spacing w:after="0" w:line="274" w:lineRule="auto"/>
        <w:tabs>
          <w:tab w:leader="none" w:pos="2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224" w:right="320" w:hanging="224"/>
        <w:spacing w:after="0" w:line="274" w:lineRule="auto"/>
        <w:tabs>
          <w:tab w:leader="none" w:pos="2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2" w:lineRule="exact"/>
        <w:rPr>
          <w:rFonts w:ascii="Arial" w:cs="Arial" w:eastAsia="Arial" w:hAnsi="Arial"/>
          <w:sz w:val="16"/>
          <w:szCs w:val="16"/>
          <w:color w:val="auto"/>
        </w:rPr>
      </w:pPr>
    </w:p>
    <w:p>
      <w:pPr>
        <w:ind w:left="624" w:right="120" w:hanging="276"/>
        <w:spacing w:after="0" w:line="261" w:lineRule="auto"/>
        <w:tabs>
          <w:tab w:leader="none" w:pos="624"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624" w:right="280" w:hanging="285"/>
        <w:spacing w:after="0" w:line="274" w:lineRule="auto"/>
        <w:tabs>
          <w:tab w:leader="none" w:pos="624"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ind w:left="624" w:right="260" w:hanging="276"/>
        <w:spacing w:after="0" w:line="261" w:lineRule="auto"/>
        <w:tabs>
          <w:tab w:leader="none" w:pos="624" w:val="left"/>
        </w:tabs>
        <w:numPr>
          <w:ilvl w:val="1"/>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6"/>
          <w:szCs w:val="16"/>
          <w:color w:val="auto"/>
        </w:rPr>
      </w:pPr>
    </w:p>
    <w:p>
      <w:pPr>
        <w:ind w:left="224" w:right="140" w:hanging="224"/>
        <w:spacing w:after="0" w:line="274" w:lineRule="auto"/>
        <w:tabs>
          <w:tab w:leader="none" w:pos="2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6"/>
          <w:szCs w:val="16"/>
          <w:color w:val="auto"/>
        </w:rPr>
      </w:pPr>
    </w:p>
    <w:p>
      <w:pPr>
        <w:ind w:left="624" w:right="100" w:hanging="276"/>
        <w:spacing w:after="0" w:line="274" w:lineRule="auto"/>
        <w:tabs>
          <w:tab w:leader="none" w:pos="624"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624" w:hanging="285"/>
        <w:spacing w:after="0"/>
        <w:tabs>
          <w:tab w:leader="none" w:pos="624" w:val="left"/>
        </w:tabs>
        <w:numPr>
          <w:ilvl w:val="1"/>
          <w:numId w:val="9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Date: October 18, 2004</w:t>
            </w:r>
          </w:p>
        </w:tc>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Robert E. Schjerven</w:t>
            </w:r>
          </w:p>
        </w:tc>
      </w:tr>
      <w:tr>
        <w:trPr>
          <w:trHeight w:val="170"/>
        </w:trPr>
        <w:tc>
          <w:tcPr>
            <w:tcW w:w="5500" w:type="dxa"/>
            <w:vAlign w:val="bottom"/>
          </w:tcPr>
          <w:p>
            <w:pPr>
              <w:spacing w:after="0"/>
              <w:rPr>
                <w:sz w:val="14"/>
                <w:szCs w:val="14"/>
                <w:color w:val="auto"/>
              </w:rPr>
            </w:pPr>
          </w:p>
        </w:tc>
        <w:tc>
          <w:tcPr>
            <w:tcW w:w="4220" w:type="dxa"/>
            <w:vAlign w:val="bottom"/>
          </w:tcPr>
          <w:p>
            <w:pPr>
              <w:spacing w:after="0" w:line="171" w:lineRule="exact"/>
              <w:rPr>
                <w:sz w:val="20"/>
                <w:szCs w:val="20"/>
                <w:color w:val="auto"/>
              </w:rPr>
            </w:pPr>
            <w:r>
              <w:rPr>
                <w:rFonts w:ascii="Arial" w:cs="Arial" w:eastAsia="Arial" w:hAnsi="Arial"/>
                <w:sz w:val="16"/>
                <w:szCs w:val="16"/>
                <w:color w:val="auto"/>
              </w:rPr>
              <w:t>Robert E. Schjerven</w:t>
            </w:r>
          </w:p>
        </w:tc>
      </w:tr>
      <w:tr>
        <w:trPr>
          <w:trHeight w:val="204"/>
        </w:trPr>
        <w:tc>
          <w:tcPr>
            <w:tcW w:w="550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44"/>
          </w:cols>
          <w:pgMar w:left="236" w:top="843" w:right="2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color w:val="auto"/>
        </w:rPr>
        <w:t>Exhibit 31.2</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color w:val="auto"/>
        </w:rPr>
        <w:t>I, Susan K. Carter, certify that:</w:t>
      </w:r>
    </w:p>
    <w:p>
      <w:pPr>
        <w:spacing w:after="0" w:line="198" w:lineRule="exact"/>
        <w:rPr>
          <w:sz w:val="20"/>
          <w:szCs w:val="20"/>
          <w:color w:val="auto"/>
        </w:rPr>
      </w:pPr>
    </w:p>
    <w:p>
      <w:pPr>
        <w:ind w:left="224" w:hanging="224"/>
        <w:spacing w:after="0"/>
        <w:tabs>
          <w:tab w:leader="none" w:pos="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Lennox International Inc.;</w:t>
      </w:r>
    </w:p>
    <w:p>
      <w:pPr>
        <w:spacing w:after="0" w:line="197" w:lineRule="exact"/>
        <w:rPr>
          <w:rFonts w:ascii="Arial" w:cs="Arial" w:eastAsia="Arial" w:hAnsi="Arial"/>
          <w:sz w:val="16"/>
          <w:szCs w:val="16"/>
          <w:color w:val="auto"/>
        </w:rPr>
      </w:pPr>
    </w:p>
    <w:p>
      <w:pPr>
        <w:ind w:left="224" w:right="160" w:hanging="224"/>
        <w:spacing w:after="0" w:line="274" w:lineRule="auto"/>
        <w:tabs>
          <w:tab w:leader="none" w:pos="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left="224" w:right="40" w:hanging="224"/>
        <w:spacing w:after="0" w:line="274" w:lineRule="auto"/>
        <w:tabs>
          <w:tab w:leader="none" w:pos="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224" w:right="320" w:hanging="224"/>
        <w:spacing w:after="0" w:line="274" w:lineRule="auto"/>
        <w:tabs>
          <w:tab w:leader="none" w:pos="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2" w:lineRule="exact"/>
        <w:rPr>
          <w:rFonts w:ascii="Arial" w:cs="Arial" w:eastAsia="Arial" w:hAnsi="Arial"/>
          <w:sz w:val="16"/>
          <w:szCs w:val="16"/>
          <w:color w:val="auto"/>
        </w:rPr>
      </w:pPr>
    </w:p>
    <w:p>
      <w:pPr>
        <w:ind w:left="624" w:right="120" w:hanging="276"/>
        <w:spacing w:after="0" w:line="261" w:lineRule="auto"/>
        <w:tabs>
          <w:tab w:leader="none" w:pos="6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624" w:right="280" w:hanging="285"/>
        <w:spacing w:after="0" w:line="274" w:lineRule="auto"/>
        <w:tabs>
          <w:tab w:leader="none" w:pos="6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6"/>
          <w:szCs w:val="16"/>
          <w:color w:val="auto"/>
        </w:rPr>
      </w:pPr>
    </w:p>
    <w:p>
      <w:pPr>
        <w:ind w:left="624" w:right="260" w:hanging="276"/>
        <w:spacing w:after="0" w:line="261" w:lineRule="auto"/>
        <w:tabs>
          <w:tab w:leader="none" w:pos="6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6"/>
          <w:szCs w:val="16"/>
          <w:color w:val="auto"/>
        </w:rPr>
      </w:pPr>
    </w:p>
    <w:p>
      <w:pPr>
        <w:ind w:left="224" w:right="140" w:hanging="224"/>
        <w:spacing w:after="0" w:line="274" w:lineRule="auto"/>
        <w:tabs>
          <w:tab w:leader="none" w:pos="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6"/>
          <w:szCs w:val="16"/>
          <w:color w:val="auto"/>
        </w:rPr>
      </w:pPr>
    </w:p>
    <w:p>
      <w:pPr>
        <w:ind w:left="624" w:right="100" w:hanging="276"/>
        <w:spacing w:after="0" w:line="274" w:lineRule="auto"/>
        <w:tabs>
          <w:tab w:leader="none" w:pos="6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624" w:hanging="285"/>
        <w:spacing w:after="0"/>
        <w:tabs>
          <w:tab w:leader="none" w:pos="624" w:val="left"/>
        </w:tabs>
        <w:numPr>
          <w:ilvl w:val="1"/>
          <w:numId w:val="9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Date: October 18, 2004</w:t>
            </w:r>
          </w:p>
        </w:tc>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Susan K. Carter</w:t>
            </w:r>
          </w:p>
        </w:tc>
      </w:tr>
      <w:tr>
        <w:trPr>
          <w:trHeight w:val="170"/>
        </w:trPr>
        <w:tc>
          <w:tcPr>
            <w:tcW w:w="5500" w:type="dxa"/>
            <w:vAlign w:val="bottom"/>
          </w:tcPr>
          <w:p>
            <w:pPr>
              <w:spacing w:after="0"/>
              <w:rPr>
                <w:sz w:val="14"/>
                <w:szCs w:val="14"/>
                <w:color w:val="auto"/>
              </w:rPr>
            </w:pPr>
          </w:p>
        </w:tc>
        <w:tc>
          <w:tcPr>
            <w:tcW w:w="4220" w:type="dxa"/>
            <w:vAlign w:val="bottom"/>
          </w:tcPr>
          <w:p>
            <w:pPr>
              <w:spacing w:after="0" w:line="171" w:lineRule="exact"/>
              <w:rPr>
                <w:sz w:val="20"/>
                <w:szCs w:val="20"/>
                <w:color w:val="auto"/>
              </w:rPr>
            </w:pPr>
            <w:r>
              <w:rPr>
                <w:rFonts w:ascii="Arial" w:cs="Arial" w:eastAsia="Arial" w:hAnsi="Arial"/>
                <w:sz w:val="16"/>
                <w:szCs w:val="16"/>
                <w:color w:val="auto"/>
              </w:rPr>
              <w:t>Susan K. Carter</w:t>
            </w:r>
          </w:p>
        </w:tc>
      </w:tr>
      <w:tr>
        <w:trPr>
          <w:trHeight w:val="204"/>
        </w:trPr>
        <w:tc>
          <w:tcPr>
            <w:tcW w:w="550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44"/>
          </w:cols>
          <w:pgMar w:left="236" w:top="1200"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49" w:lineRule="exact"/>
        <w:rPr>
          <w:sz w:val="20"/>
          <w:szCs w:val="20"/>
          <w:color w:val="auto"/>
        </w:rPr>
      </w:pPr>
    </w:p>
    <w:p>
      <w:pPr>
        <w:ind w:firstLine="199"/>
        <w:spacing w:after="0" w:line="257" w:lineRule="auto"/>
        <w:rPr>
          <w:sz w:val="20"/>
          <w:szCs w:val="20"/>
          <w:color w:val="auto"/>
        </w:rPr>
      </w:pPr>
      <w:r>
        <w:rPr>
          <w:rFonts w:ascii="Arial" w:cs="Arial" w:eastAsia="Arial" w:hAnsi="Arial"/>
          <w:sz w:val="16"/>
          <w:szCs w:val="16"/>
          <w:color w:val="auto"/>
        </w:rPr>
        <w:t>In connection with the Annual Report of Lennox International Inc. (the “Company”) on Form 10-K for the fiscal year ending December 31, 2003 as filed with the Securities and Exchange Commission on the date hereof (the “Report”), each of the undersigned, Robert E. Schjerven, Chief Executive Officer of the Company, and Susan K. Carter, Chief Financial Officer of the Company, certifies, pursuant to 18 U.S.C. section 1350, as adopted pursuant to section 906 of the Sarbanes-Oxley Act of 2002, that to his or her knowledge:</w:t>
      </w:r>
    </w:p>
    <w:p>
      <w:pPr>
        <w:spacing w:after="0" w:line="142" w:lineRule="exact"/>
        <w:rPr>
          <w:sz w:val="20"/>
          <w:szCs w:val="20"/>
          <w:color w:val="auto"/>
        </w:rPr>
      </w:pPr>
    </w:p>
    <w:p>
      <w:pPr>
        <w:ind w:left="420" w:hanging="226"/>
        <w:spacing w:after="0"/>
        <w:tabs>
          <w:tab w:leader="none" w:pos="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1" w:lineRule="exact"/>
        <w:rPr>
          <w:rFonts w:ascii="Arial" w:cs="Arial" w:eastAsia="Arial" w:hAnsi="Arial"/>
          <w:sz w:val="16"/>
          <w:szCs w:val="16"/>
          <w:color w:val="auto"/>
        </w:rPr>
      </w:pPr>
    </w:p>
    <w:p>
      <w:pPr>
        <w:ind w:left="420" w:hanging="226"/>
        <w:spacing w:after="0"/>
        <w:tabs>
          <w:tab w:leader="none" w:pos="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/s/ Robert E. Schjerven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269621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Robert E. Schjerven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October 18, 2004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Susan K.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269621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Susan K. Carter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October 18, 2004</w:t>
      </w:r>
    </w:p>
    <w:p>
      <w:pPr>
        <w:spacing w:after="0" w:line="162" w:lineRule="exact"/>
        <w:rPr>
          <w:sz w:val="20"/>
          <w:szCs w:val="20"/>
          <w:color w:val="auto"/>
        </w:rPr>
      </w:pPr>
    </w:p>
    <w:p>
      <w:pPr>
        <w:ind w:right="280" w:firstLine="190"/>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Lennox International Inc. and will be retained by Lennox International Inc. and furnished to the Securities and Exchange Commission or its staff upon request. The foregoing certification is being furnished to the Securities and Exchange Commission as an exhibit to the report.</w:t>
      </w:r>
    </w:p>
    <w:p>
      <w:pPr>
        <w:sectPr>
          <w:pgSz w:w="11900" w:h="16838" w:orient="portrait"/>
          <w:cols w:equalWidth="0" w:num="1">
            <w:col w:w="11440"/>
          </w:cols>
          <w:pgMar w:left="240" w:top="1201" w:right="219" w:bottom="1440" w:gutter="0" w:footer="0" w:header="0"/>
        </w:sectPr>
      </w:pPr>
    </w:p>
    <w:bookmarkStart w:id="153" w:name="page154"/>
    <w:bookmarkEnd w:id="153"/>
    <w:p>
      <w:pPr>
        <w:ind w:left="6320"/>
        <w:spacing w:after="0"/>
        <w:rPr>
          <w:sz w:val="20"/>
          <w:szCs w:val="20"/>
          <w:color w:val="auto"/>
        </w:rPr>
      </w:pPr>
      <w:r>
        <w:rPr>
          <w:rFonts w:ascii="Courier New" w:cs="Courier New" w:eastAsia="Courier New" w:hAnsi="Courier New"/>
          <w:sz w:val="14"/>
          <w:szCs w:val="14"/>
          <w:color w:val="auto"/>
        </w:rPr>
        <w:t>EXHIBIT 99.1</w:t>
      </w:r>
    </w:p>
    <w:p>
      <w:pPr>
        <w:spacing w:after="0" w:line="199" w:lineRule="exact"/>
        <w:rPr>
          <w:sz w:val="20"/>
          <w:szCs w:val="20"/>
          <w:color w:val="auto"/>
        </w:rPr>
      </w:pPr>
    </w:p>
    <w:p>
      <w:pPr>
        <w:jc w:val="both"/>
        <w:ind w:right="2779"/>
        <w:spacing w:after="0" w:line="234" w:lineRule="auto"/>
        <w:rPr>
          <w:sz w:val="20"/>
          <w:szCs w:val="20"/>
          <w:color w:val="auto"/>
        </w:rPr>
      </w:pPr>
      <w:r>
        <w:rPr>
          <w:rFonts w:ascii="Courier New" w:cs="Courier New" w:eastAsia="Courier New" w:hAnsi="Courier New"/>
          <w:sz w:val="16"/>
          <w:szCs w:val="16"/>
          <w:color w:val="auto"/>
        </w:rPr>
        <w:t>NOMINEES FOR ELECTION AT 2004 ANNUAL MEETING OF STOCKHOLDERS FOR A TERM EXPIRING AT THE 2007 ANNUAL MEETING OF STOCKHOLDERS:</w:t>
      </w:r>
    </w:p>
    <w:p>
      <w:pPr>
        <w:spacing w:after="0" w:line="183" w:lineRule="exact"/>
        <w:rPr>
          <w:sz w:val="20"/>
          <w:szCs w:val="20"/>
          <w:color w:val="auto"/>
        </w:rPr>
      </w:pPr>
    </w:p>
    <w:p>
      <w:pPr>
        <w:ind w:left="1120" w:right="2779"/>
        <w:spacing w:after="0" w:line="272" w:lineRule="auto"/>
        <w:rPr>
          <w:sz w:val="20"/>
          <w:szCs w:val="20"/>
          <w:color w:val="auto"/>
        </w:rPr>
      </w:pPr>
      <w:r>
        <w:rPr>
          <w:rFonts w:ascii="Courier New" w:cs="Courier New" w:eastAsia="Courier New" w:hAnsi="Courier New"/>
          <w:sz w:val="14"/>
          <w:szCs w:val="14"/>
          <w:color w:val="auto"/>
        </w:rPr>
        <w:t>JANET K. COOPER, 51, has served as a Director of the Company since 1999. In 2002, Ms. Cooper was named Senior Vice President and Treasurer of Qwest Communications International Inc. Previously, she was Chief Financial Officer and Senior Vice President of McDATA Corporation, a global leader in open storage networking solutions. From 2000 to 2001, she served as Senior Vice President, Finance of Qwest. From 1998 to 2000, she served in various senior level finance positions at US West Inc., a regional Bell operating company, including Vice President, Finance and Controller and Vice President and Treasurer. From 1978 to 1998, Cooper served in various capacities with the Quaker Oats Company, including Vice President, Treasurer and Tax from 1997 to 1998 and Vice President, Treasurer from 1992 to 1997. Ms. Cooper serves on the Board of Directors and chairs the Audit Committee of The TORO Company, a manufacturer of equipment for lawn and turf care maintenance.</w:t>
      </w:r>
    </w:p>
    <w:p>
      <w:pPr>
        <w:spacing w:after="0" w:line="346" w:lineRule="exact"/>
        <w:rPr>
          <w:sz w:val="20"/>
          <w:szCs w:val="20"/>
          <w:color w:val="auto"/>
        </w:rPr>
      </w:pPr>
    </w:p>
    <w:p>
      <w:pPr>
        <w:ind w:left="1120" w:right="2779"/>
        <w:spacing w:after="0" w:line="274" w:lineRule="auto"/>
        <w:rPr>
          <w:sz w:val="20"/>
          <w:szCs w:val="20"/>
          <w:color w:val="auto"/>
        </w:rPr>
      </w:pPr>
      <w:r>
        <w:rPr>
          <w:rFonts w:ascii="Courier New" w:cs="Courier New" w:eastAsia="Courier New" w:hAnsi="Courier New"/>
          <w:sz w:val="14"/>
          <w:szCs w:val="14"/>
          <w:color w:val="auto"/>
        </w:rPr>
        <w:t>C. L. (JERRY) HENRY, 63, was appointed to serve as a Director of the Company in 2000. Mr. Henry was formerly Chairman and CEO of Johns Manville Corporation, a leading manufacturer of insulation and building products. Prior to his position with Johns Manville, he had served as Executive Vice President and Chief Financial Officer for E. I. du Pont de Nemours and Company, a global science and technology company. Mr. Henry serves as a Director for Georgia Gulf Corp., a leading manufacturer and worldwide marketer of several integrated lines of commodity chemicals and polymers.</w:t>
      </w:r>
    </w:p>
    <w:p>
      <w:pPr>
        <w:spacing w:after="0" w:line="340" w:lineRule="exact"/>
        <w:rPr>
          <w:sz w:val="20"/>
          <w:szCs w:val="20"/>
          <w:color w:val="auto"/>
        </w:rPr>
      </w:pPr>
    </w:p>
    <w:p>
      <w:pPr>
        <w:ind w:left="1120" w:right="2779"/>
        <w:spacing w:after="0" w:line="236" w:lineRule="auto"/>
        <w:rPr>
          <w:sz w:val="20"/>
          <w:szCs w:val="20"/>
          <w:color w:val="auto"/>
        </w:rPr>
      </w:pPr>
      <w:r>
        <w:rPr>
          <w:rFonts w:ascii="Courier New" w:cs="Courier New" w:eastAsia="Courier New" w:hAnsi="Courier New"/>
          <w:sz w:val="16"/>
          <w:szCs w:val="16"/>
          <w:color w:val="auto"/>
        </w:rPr>
        <w:t>ROBERT E. SCHJERVEN, 61, was named Chief Executive Officer of the Company in 2001 and has served as a Director since that time. Prior to his election as Chief Executive Officer of the Company, he served as Chief Operating Officer of the Company in 2000 and as President and Chief Operating Officer of Lennox Industries Inc., a subsidiary of the Company, from 1995 to 2000. He joined the Company in 1986 as Vice President of Marketing and Engineering for Heatcraft Inc., a subsidiary of the Company. From 1988 to 1991, he held the position of Vice President and General Manager of Heatcraft. From 1991 to 1995, he served as President and Chief Operating Officer of Armstrong Air Conditioning Inc., also a subsidiary of the Company. Mr. Schjerven spent the first 20 years of his career with The Trane Company, an international manufacturer and marketer of HVAC systems, and McQuay-Perfex Inc.</w:t>
      </w:r>
    </w:p>
    <w:p>
      <w:pPr>
        <w:spacing w:after="0" w:line="188" w:lineRule="exact"/>
        <w:rPr>
          <w:sz w:val="20"/>
          <w:szCs w:val="20"/>
          <w:color w:val="auto"/>
        </w:rPr>
      </w:pPr>
    </w:p>
    <w:p>
      <w:pPr>
        <w:ind w:left="1120" w:right="2779"/>
        <w:spacing w:after="0" w:line="272" w:lineRule="auto"/>
        <w:rPr>
          <w:sz w:val="20"/>
          <w:szCs w:val="20"/>
          <w:color w:val="auto"/>
        </w:rPr>
      </w:pPr>
      <w:r>
        <w:rPr>
          <w:rFonts w:ascii="Courier New" w:cs="Courier New" w:eastAsia="Courier New" w:hAnsi="Courier New"/>
          <w:sz w:val="14"/>
          <w:szCs w:val="14"/>
          <w:color w:val="auto"/>
        </w:rPr>
        <w:t>TERRY D. STINSON, 62, has served as a Director of the Company since 1998. Mr. Stinson currently serves as Chief Executive Officer of his own consulting practice engaged in strategic alliances and marketing for the aerospace industry, and as Chief Executive Officer of Xelus, Inc., a collaborative enterprise service management solution company. Until the fall of 2001, Mr. Stinson was Chairman and Chief Executive Officer of Bell Helicopter Textron Inc., the world's leading manufacturer of vertical lift aircraft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 Mr. Stinson currently serves on the Board of Directors of Triumph Group, Inc., a global leader in supplying and overhauling aerospace and industrial gas turbine systems and components.</w:t>
      </w:r>
    </w:p>
    <w:p>
      <w:pPr>
        <w:spacing w:after="0" w:line="345" w:lineRule="exact"/>
        <w:rPr>
          <w:sz w:val="20"/>
          <w:szCs w:val="20"/>
          <w:color w:val="auto"/>
        </w:rPr>
      </w:pPr>
    </w:p>
    <w:p>
      <w:pPr>
        <w:ind w:left="1120" w:right="2779"/>
        <w:spacing w:after="0" w:line="272" w:lineRule="auto"/>
        <w:rPr>
          <w:sz w:val="20"/>
          <w:szCs w:val="20"/>
          <w:color w:val="auto"/>
        </w:rPr>
      </w:pPr>
      <w:r>
        <w:rPr>
          <w:rFonts w:ascii="Courier New" w:cs="Courier New" w:eastAsia="Courier New" w:hAnsi="Courier New"/>
          <w:sz w:val="14"/>
          <w:szCs w:val="14"/>
          <w:color w:val="auto"/>
        </w:rPr>
        <w:t>RICHARD L. THOMPSON, 64, has served as a Director of the Company since 1993. Mr. Thompson was formerly Group President and member of the Executive Office of Caterpillar Inc., a manufacturer of construction and mining equipment, a position he held since 1995. He joined Caterpillar in 1983 as Vice President, Customer Services. In 1989, he was appointed President of Solar Turbines Inc., a wholly-owned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 Mr. Thompson serves as a Director for Gardner Denver, Inc., a manufacturer of air compressors, blowers and petroleum pumps and for NiSource Inc., a natural gas and electric utility. In addition, he is a former Director of the National Association of Manufacturers, the nation's largest industrial trade association, and Proctor Community Hospital in Peoria, Illinois.</w:t>
      </w:r>
    </w:p>
    <w:p>
      <w:pPr>
        <w:sectPr>
          <w:pgSz w:w="11900" w:h="16838" w:orient="portrait"/>
          <w:cols w:equalWidth="0" w:num="1">
            <w:col w:w="10219"/>
          </w:cols>
          <w:pgMar w:left="240" w:top="500"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DIRECTORS WHOSE TERMS CONTINUE UNTIL THE 2005 ANNUAL MEETING OF STOCKHOLDERS:</w:t>
      </w:r>
    </w:p>
    <w:p>
      <w:pPr>
        <w:spacing w:after="0" w:line="183" w:lineRule="exact"/>
        <w:rPr>
          <w:sz w:val="20"/>
          <w:szCs w:val="20"/>
          <w:color w:val="auto"/>
        </w:rPr>
      </w:pPr>
    </w:p>
    <w:p>
      <w:pPr>
        <w:ind w:left="1120" w:right="2779"/>
        <w:spacing w:after="0" w:line="236" w:lineRule="auto"/>
        <w:rPr>
          <w:sz w:val="20"/>
          <w:szCs w:val="20"/>
          <w:color w:val="auto"/>
        </w:rPr>
      </w:pPr>
      <w:r>
        <w:rPr>
          <w:rFonts w:ascii="Courier New" w:cs="Courier New" w:eastAsia="Courier New" w:hAnsi="Courier New"/>
          <w:sz w:val="16"/>
          <w:szCs w:val="16"/>
          <w:color w:val="auto"/>
        </w:rPr>
        <w:t>THOMAS W. BOOTH, 47, has served as a Director of the Company since 1999. Mr. Booth became Vice President of Corporate Technology for the Company in 2002. In 2000, he was appointed Vice President, Advanced Heat Transfer of Heatcraft Inc., a subsidiary of the Company. Previously, he was the Director, Business Development of Heatcraft Inc. from 1997 to 1999. Mr. Booth joined the Company in 1984 and has served in various capacities including the District Manager for the Baltimore/Virginia sales branch of Lennox Industries Inc. from 1994 to 1997. He currently serves on the Board of Directors of Employers Mutual Casualty Company, a casualty insurance company.</w:t>
      </w:r>
    </w:p>
    <w:p>
      <w:pPr>
        <w:spacing w:after="0" w:line="186" w:lineRule="exact"/>
        <w:rPr>
          <w:sz w:val="20"/>
          <w:szCs w:val="20"/>
          <w:color w:val="auto"/>
        </w:rPr>
      </w:pPr>
    </w:p>
    <w:p>
      <w:pPr>
        <w:ind w:left="1120" w:right="2779"/>
        <w:spacing w:after="0" w:line="272" w:lineRule="auto"/>
        <w:rPr>
          <w:sz w:val="20"/>
          <w:szCs w:val="20"/>
          <w:color w:val="auto"/>
        </w:rPr>
      </w:pPr>
      <w:r>
        <w:rPr>
          <w:rFonts w:ascii="Courier New" w:cs="Courier New" w:eastAsia="Courier New" w:hAnsi="Courier New"/>
          <w:sz w:val="14"/>
          <w:szCs w:val="14"/>
          <w:color w:val="auto"/>
        </w:rPr>
        <w:t>JAMES J. BYRNE, 68, has served as a Director of the Company since 1990. He has been Chairman of Byrne Technology Partners, Ltd., a firm that provides interim management at the CEO and senior executive level for high technology companies, since 1995. Mr. Byrne also serves as a Director of Healthaxis Inc., a claims processing outsourcing company for the health care benefits industry, and is a Fellow and Director of the Legacy Center for Public Policy. In addition, Mr. Byrne will assist his clients by assuming executive responsibility with their investments and in that regard served as Chairman and Chief Executive Officer of OpenConnect Systems Incorporated, a developer of computer software products, from 1999 to 2001.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in high technology with General Electric Company.</w:t>
      </w:r>
    </w:p>
    <w:p>
      <w:pPr>
        <w:spacing w:after="0" w:line="343" w:lineRule="exact"/>
        <w:rPr>
          <w:sz w:val="20"/>
          <w:szCs w:val="20"/>
          <w:color w:val="auto"/>
        </w:rPr>
      </w:pPr>
    </w:p>
    <w:p>
      <w:pPr>
        <w:ind w:left="1120" w:right="2779"/>
        <w:spacing w:after="0" w:line="273" w:lineRule="auto"/>
        <w:rPr>
          <w:sz w:val="20"/>
          <w:szCs w:val="20"/>
          <w:color w:val="auto"/>
        </w:rPr>
      </w:pPr>
      <w:r>
        <w:rPr>
          <w:rFonts w:ascii="Courier New" w:cs="Courier New" w:eastAsia="Courier New" w:hAnsi="Courier New"/>
          <w:sz w:val="14"/>
          <w:szCs w:val="14"/>
          <w:color w:val="auto"/>
        </w:rPr>
        <w:t>JOHN W. NORRIS III, 46, has served as a Director since 2001. Mr. Norris is the Associate Director of Philanthropy for the Maine Chapter of The Nature Conservancy. Prior to his current position, he was Co-Founder and President of Borealis, Inc., an outdoor products manufacturer, from 1988 to 2000. He served as an economic development Peace Corps Volunteer in Jamaica, West Indies from 1985 to 1987. Before joining the Peace Corps, Norris completed a graduate school internship at Lennox Industries Inc. in Dallas in 1983. He has been on the Board of Trustees for GlobalQuest, an international experiential educational organization, since 1999. Mr. Norris served on the Board of Advisors for Businesses for the Northern Forest, a 350-member advocacy group working to protect wildlands, improve forest stewardship, and foster sustainable economic development, from 1997 through 2001.</w:t>
      </w:r>
    </w:p>
    <w:p>
      <w:pPr>
        <w:spacing w:after="0" w:line="200" w:lineRule="exact"/>
        <w:rPr>
          <w:sz w:val="20"/>
          <w:szCs w:val="20"/>
          <w:color w:val="auto"/>
        </w:rPr>
      </w:pPr>
    </w:p>
    <w:p>
      <w:pPr>
        <w:spacing w:after="0" w:line="319" w:lineRule="exact"/>
        <w:rPr>
          <w:sz w:val="20"/>
          <w:szCs w:val="20"/>
          <w:color w:val="auto"/>
        </w:rPr>
      </w:pPr>
    </w:p>
    <w:p>
      <w:pPr>
        <w:ind w:left="1120" w:right="2779"/>
        <w:spacing w:after="0" w:line="236" w:lineRule="auto"/>
        <w:rPr>
          <w:sz w:val="20"/>
          <w:szCs w:val="20"/>
          <w:color w:val="auto"/>
        </w:rPr>
      </w:pPr>
      <w:r>
        <w:rPr>
          <w:rFonts w:ascii="Courier New" w:cs="Courier New" w:eastAsia="Courier New" w:hAnsi="Courier New"/>
          <w:sz w:val="16"/>
          <w:szCs w:val="16"/>
          <w:color w:val="auto"/>
        </w:rPr>
        <w:t>JOHN W. NORRIS, JR., 68, was elected Chairman of the Board of Directors of the Company in 1991. He has served as a Director of the Company since 1966. After joining the Company in 1960, Mr. Norris held a variety of key positions including Vice President of Marketing, President of Lennox Industries (Canada) Ltd., a subsidiary of the Company, and Corporate Senior Vice President. He became President of the Company in 1977 and was appointed President and Chief Executive Officer of the Company in 1980 and served through 2001. Mr. Norris is on the Board of Directors of the Air-Conditioning &amp; Refrigeration Institute, of which he was Chairman in 1986. He is also an active board member of the Gas Appliance Manufacturers Association, where he was Chairman from 1980 to 1981. He is a past Chairman of The Nature Conservancy of Texas board of trustees and also serves as a Director of AmerUs Group Co., a life insurance and annuity company.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CONTINUE UNTIL THE 2006 ANNUAL MEETING OF STOCKHOLDERS:</w:t>
      </w:r>
    </w:p>
    <w:p>
      <w:pPr>
        <w:spacing w:after="0" w:line="183" w:lineRule="exact"/>
        <w:rPr>
          <w:sz w:val="20"/>
          <w:szCs w:val="20"/>
          <w:color w:val="auto"/>
        </w:rPr>
      </w:pPr>
    </w:p>
    <w:p>
      <w:pPr>
        <w:ind w:left="1120" w:right="2779"/>
        <w:spacing w:after="0" w:line="273" w:lineRule="auto"/>
        <w:rPr>
          <w:sz w:val="20"/>
          <w:szCs w:val="20"/>
          <w:color w:val="auto"/>
        </w:rPr>
      </w:pPr>
      <w:r>
        <w:rPr>
          <w:rFonts w:ascii="Courier New" w:cs="Courier New" w:eastAsia="Courier New" w:hAnsi="Courier New"/>
          <w:sz w:val="14"/>
          <w:szCs w:val="14"/>
          <w:color w:val="auto"/>
        </w:rPr>
        <w:t>LINDA G. ALVARADO, 53, has served as a Director of the Company since 1987. She is President and Chief Executive Officer of Alvarado Construction, Inc., a general contracting firm specializing in commercial, government and industrial construction and commercial development firm. She currently serves on the Boards of Directors of Qwest Communications International Inc, a telecommunications company, Pepsi Bottling Group, a soft drink and beverage company, 3M Company, a diversified technology company, and Pitney Bowes Inc., an office equipment and services company. Ms. Alvarado is also a partner in the Colorado Rockies Baseball Club.</w:t>
      </w:r>
    </w:p>
    <w:p>
      <w:pPr>
        <w:spacing w:after="0" w:line="344" w:lineRule="exact"/>
        <w:rPr>
          <w:sz w:val="20"/>
          <w:szCs w:val="20"/>
          <w:color w:val="auto"/>
        </w:rPr>
      </w:pPr>
    </w:p>
    <w:p>
      <w:pPr>
        <w:ind w:left="1120" w:right="2959"/>
        <w:spacing w:after="0" w:line="275" w:lineRule="auto"/>
        <w:rPr>
          <w:sz w:val="20"/>
          <w:szCs w:val="20"/>
          <w:color w:val="auto"/>
        </w:rPr>
      </w:pPr>
      <w:r>
        <w:rPr>
          <w:rFonts w:ascii="Courier New" w:cs="Courier New" w:eastAsia="Courier New" w:hAnsi="Courier New"/>
          <w:sz w:val="14"/>
          <w:szCs w:val="14"/>
          <w:color w:val="auto"/>
        </w:rPr>
        <w:t>STEVEN R. BOOTH, 44, has served as a Director of the Company since 2002. He became the President of Polytech Molding Inc., a plastic injection molding company serving the industrial, health care and automotive markets, in 2001. From 1994 to 2001, Mr. Booth was employed by Process Science Inc., a designer and manufacturer of equipment and products using hydrostatic extrusion technology.</w:t>
      </w:r>
    </w:p>
    <w:p>
      <w:pPr>
        <w:sectPr>
          <w:pgSz w:w="11900" w:h="16838" w:orient="portrait"/>
          <w:cols w:equalWidth="0" w:num="1">
            <w:col w:w="10219"/>
          </w:cols>
          <w:pgMar w:left="240" w:top="648" w:right="1440" w:bottom="754" w:gutter="0" w:footer="0" w:header="0"/>
        </w:sectPr>
      </w:pPr>
    </w:p>
    <w:bookmarkStart w:id="155" w:name="page156"/>
    <w:bookmarkEnd w:id="155"/>
    <w:p>
      <w:pPr>
        <w:ind w:left="1125" w:right="2959"/>
        <w:spacing w:after="0" w:line="275" w:lineRule="auto"/>
        <w:rPr>
          <w:sz w:val="20"/>
          <w:szCs w:val="20"/>
          <w:color w:val="auto"/>
        </w:rPr>
      </w:pPr>
      <w:r>
        <w:rPr>
          <w:rFonts w:ascii="Courier New" w:cs="Courier New" w:eastAsia="Courier New" w:hAnsi="Courier New"/>
          <w:sz w:val="14"/>
          <w:szCs w:val="14"/>
          <w:color w:val="auto"/>
        </w:rPr>
        <w:t>DAVID V. BROWN, 56, has served as a Director of the Company since 1989. Dr. Brown owns the Plantation Farm Camp, Inc., a working 500-acre ranch with livestock that provides learning in a farm setting for children. He is currently serving on the Strategic Planning Board of the Western Association of Independent Camps, an educational organization for training camp directors and owners.</w:t>
      </w:r>
    </w:p>
    <w:p>
      <w:pPr>
        <w:spacing w:after="0" w:line="162" w:lineRule="exact"/>
        <w:rPr>
          <w:sz w:val="20"/>
          <w:szCs w:val="20"/>
          <w:color w:val="auto"/>
        </w:rPr>
      </w:pPr>
    </w:p>
    <w:p>
      <w:pPr>
        <w:ind w:left="1125" w:right="2779"/>
        <w:spacing w:after="0" w:line="236" w:lineRule="auto"/>
        <w:rPr>
          <w:sz w:val="20"/>
          <w:szCs w:val="20"/>
          <w:color w:val="auto"/>
        </w:rPr>
      </w:pPr>
      <w:r>
        <w:rPr>
          <w:rFonts w:ascii="Courier New" w:cs="Courier New" w:eastAsia="Courier New" w:hAnsi="Courier New"/>
          <w:sz w:val="16"/>
          <w:szCs w:val="16"/>
          <w:color w:val="auto"/>
        </w:rPr>
        <w:t>JOHN E. MAJOR, 58, has served as a Director of the Company since 1993. In 2003, Mr. Major formed MTSG, which provides consulting, management and governance services and of which he serves as President. In 2003, he stepped down as Chairman and Chief Executive Officer of Novatel Wireless, Inc., a leading provider of wireless Internet solutions, having served since 2000. Prior to joining Novatel, he was Chairman, Chief Executive Officer and President of Wireless Knowledge. Prior to that, he was Executive Vice President of QUALCOMM and President of its Wireless Infrastructure Division. Prior to joining QUALCOMM in 1997, Mr. Major served as Senior Vice President and Chief Technical Officer at Motorola, Inc., a manufacturer of telecommunications equipment, and Senior Vice President and General Manager for Motorola's Worldwide Systems Group of the Land Mobile Products Sector. Mr. Major currently serves on the Boards of Directors of Littelfuse, Inc., a manufacturer of fuses, Verilink Corporation, a manufacturer of network access devices, and Broadcom Corporation, a semiconductor manufacturing company.</w:t>
      </w:r>
    </w:p>
    <w:p>
      <w:pPr>
        <w:spacing w:after="0" w:line="191" w:lineRule="exact"/>
        <w:rPr>
          <w:sz w:val="20"/>
          <w:szCs w:val="20"/>
          <w:color w:val="auto"/>
        </w:rPr>
      </w:pPr>
    </w:p>
    <w:p>
      <w:pPr>
        <w:ind w:left="1125" w:right="2779"/>
        <w:spacing w:after="0" w:line="272" w:lineRule="auto"/>
        <w:rPr>
          <w:sz w:val="20"/>
          <w:szCs w:val="20"/>
          <w:color w:val="auto"/>
        </w:rPr>
      </w:pPr>
      <w:r>
        <w:rPr>
          <w:rFonts w:ascii="Courier New" w:cs="Courier New" w:eastAsia="Courier New" w:hAnsi="Courier New"/>
          <w:sz w:val="14"/>
          <w:szCs w:val="14"/>
          <w:color w:val="auto"/>
        </w:rPr>
        <w:t>WALDEN W. O'DELL, 59, has served as Director of the Company since 2003. Mr. O'Dell serves as Chairman of the Board, Chief Executive Officer and immediate past President of Diebold, Incorporated, the leading global provider of integrated financial self-service delivery systems and services. Prior to joining Diebold, Mr. O'Dell held a series of high-level positions with Emerson, including President of Emerson's Ridge Tool Division while also serving as Group Vice President of the tool group of Emerson. He has also served as President of the Liebert Corporation, a subsidiary of Emerson. Mr. O'Dell serves on the Boards of Directors of Federal Signal Corporation, the Columbus Association of Performing Arts, the Canton Cultural Center for the Arts and the United Way of Central Stark County, and he is a member of the Board of Trustees of the Ohio Foundation of Independent Colleges. He is also a member of The Ohio State University Advocates, the Board of Trustees and is a lifetime associate alumni of The Ohio State University.</w:t>
      </w:r>
    </w:p>
    <w:p>
      <w:pPr>
        <w:spacing w:after="0" w:line="345" w:lineRule="exact"/>
        <w:rPr>
          <w:sz w:val="20"/>
          <w:szCs w:val="20"/>
          <w:color w:val="auto"/>
        </w:rPr>
      </w:pPr>
    </w:p>
    <w:p>
      <w:pPr>
        <w:ind w:left="5" w:right="2959" w:firstLine="558"/>
        <w:spacing w:after="0" w:line="270" w:lineRule="auto"/>
        <w:rPr>
          <w:sz w:val="20"/>
          <w:szCs w:val="20"/>
          <w:color w:val="auto"/>
        </w:rPr>
      </w:pPr>
      <w:r>
        <w:rPr>
          <w:rFonts w:ascii="Courier New" w:cs="Courier New" w:eastAsia="Courier New" w:hAnsi="Courier New"/>
          <w:sz w:val="14"/>
          <w:szCs w:val="14"/>
          <w:color w:val="auto"/>
        </w:rPr>
        <w:t>John W. Norris, Jr. and David V. Brown are both grandchildren of D.W. Norris, the founder of LII. John W. Norris III, Steven R. Booth and Thomas W. Booth are great grandchildren of D.W. Norris. John W. Norris, Jr. and David V. Brown are first cousins. John W. Norris, Jr. is the father of John W. Norris</w:t>
      </w:r>
    </w:p>
    <w:p>
      <w:pPr>
        <w:spacing w:after="0" w:line="2" w:lineRule="exact"/>
        <w:rPr>
          <w:sz w:val="20"/>
          <w:szCs w:val="20"/>
          <w:color w:val="auto"/>
        </w:rPr>
      </w:pPr>
    </w:p>
    <w:p>
      <w:pPr>
        <w:ind w:left="5" w:right="2879" w:hanging="5"/>
        <w:spacing w:after="0" w:line="235" w:lineRule="auto"/>
        <w:tabs>
          <w:tab w:leader="none" w:pos="47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Steven R. Booth and Thomas W. Booth are brothers. Mr. David Anderson retired from the LII Board of Directors earlier in 2004. The Board of Directors would like to express its sincere appreciation to Mr. Anderson for his 31 years of dedication and commitment to LII.</w:t>
      </w:r>
    </w:p>
    <w:p>
      <w:pPr>
        <w:sectPr>
          <w:pgSz w:w="11900" w:h="16838" w:orient="portrait"/>
          <w:cols w:equalWidth="0" w:num="1">
            <w:col w:w="10224"/>
          </w:cols>
          <w:pgMar w:left="235" w:top="654" w:right="1440" w:bottom="1440" w:gutter="0" w:footer="0" w:header="0"/>
        </w:sectPr>
      </w:pPr>
    </w:p>
    <w:bookmarkStart w:id="156" w:name="page157"/>
    <w:bookmarkEnd w:id="156"/>
    <w:p>
      <w:pPr>
        <w:jc w:val="right"/>
        <w:ind w:right="2779"/>
        <w:spacing w:after="0"/>
        <w:rPr>
          <w:sz w:val="20"/>
          <w:szCs w:val="20"/>
          <w:color w:val="auto"/>
        </w:rPr>
      </w:pPr>
      <w:r>
        <w:rPr>
          <w:rFonts w:ascii="Courier New" w:cs="Courier New" w:eastAsia="Courier New" w:hAnsi="Courier New"/>
          <w:sz w:val="16"/>
          <w:szCs w:val="16"/>
          <w:color w:val="auto"/>
        </w:rPr>
        <w:t>EXHIBIT 99.2</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DIRECTORS COMPENSATION</w:t>
      </w:r>
    </w:p>
    <w:p>
      <w:pPr>
        <w:spacing w:after="0" w:line="183" w:lineRule="exact"/>
        <w:rPr>
          <w:sz w:val="20"/>
          <w:szCs w:val="20"/>
          <w:color w:val="auto"/>
        </w:rPr>
      </w:pPr>
    </w:p>
    <w:p>
      <w:pPr>
        <w:jc w:val="both"/>
        <w:ind w:right="2879" w:firstLine="558"/>
        <w:spacing w:after="0" w:line="270" w:lineRule="auto"/>
        <w:rPr>
          <w:sz w:val="20"/>
          <w:szCs w:val="20"/>
          <w:color w:val="auto"/>
        </w:rPr>
      </w:pPr>
      <w:r>
        <w:rPr>
          <w:rFonts w:ascii="Courier New" w:cs="Courier New" w:eastAsia="Courier New" w:hAnsi="Courier New"/>
          <w:sz w:val="14"/>
          <w:szCs w:val="14"/>
          <w:color w:val="auto"/>
        </w:rPr>
        <w:t>Directors who are employees of LII do not receive additional compensation for positions on the Board of Directors. In 2003, there were two employee Board members: Messrs. Robert E. Schjerven, Chief Executive Officer; and Thomas W.</w:t>
      </w:r>
    </w:p>
    <w:p>
      <w:pPr>
        <w:spacing w:after="0" w:line="1" w:lineRule="exact"/>
        <w:rPr>
          <w:sz w:val="20"/>
          <w:szCs w:val="20"/>
          <w:color w:val="auto"/>
        </w:rPr>
      </w:pPr>
    </w:p>
    <w:p>
      <w:pPr>
        <w:ind w:right="2779"/>
        <w:spacing w:after="0" w:line="271" w:lineRule="auto"/>
        <w:rPr>
          <w:sz w:val="20"/>
          <w:szCs w:val="20"/>
          <w:color w:val="auto"/>
        </w:rPr>
      </w:pPr>
      <w:r>
        <w:rPr>
          <w:rFonts w:ascii="Courier New" w:cs="Courier New" w:eastAsia="Courier New" w:hAnsi="Courier New"/>
          <w:sz w:val="14"/>
          <w:szCs w:val="14"/>
          <w:color w:val="auto"/>
        </w:rPr>
        <w:t>Booth, Vice President, Corporate Technology. The 2003 compensation package for all non-employee Directors, with the exception of the Chairman, included an annual retainer of $25,000 in cash and $10,000 in common stock, with an additional annual retainer of $10,000 in cash for serving as a committee chair of the Audit, Compensation, or Board Governance Committees and an additional annual retainer of $6,000 in cash for serving as a committee chair of the Pension and Risk Management, Human Resource, Acquisition or Public Policy Committees. A fee of $1,500 in cash was paid for attending each meeting day of the Board of Directors and a fee of $1,200 in cash was paid for attending each Board committee meeting. The fee paid for participation in a telephonic conference meeting of the Board or a committee is one-half of the regular meeting fee. The Chairman's compensation package is twice that of other Directors: consisting of an annual retainer of $50,000 in cash and $20,000 in common stock, an additional annual retainer ranging from $12,000 to $20,000 in cash for serving as a committee chair and a fee of $3,000 in cash for attending each meeting day of the Board of Directors or $2,400 for attending each Board committee meeting. The fee paid for the Chairman's participation in a telephonic conference meeting of the Board or a committee is one-half of his regular meeting fee. Directors may elect to receive the cash portion of their annual retainer in cash or shares of common stock. Directors may defer 25% or more of their annual cash retainer in an interest bearing account under the Non-employee Directors' Compensation and Deferral Plan. All Directors receive reimbursement for reasonable out-of-pocket expenses incurred in connection with attendance at meetings of the Board of Directors or a Board committee.</w:t>
      </w:r>
    </w:p>
    <w:p>
      <w:pPr>
        <w:spacing w:after="0" w:line="200" w:lineRule="exact"/>
        <w:rPr>
          <w:sz w:val="20"/>
          <w:szCs w:val="20"/>
          <w:color w:val="auto"/>
        </w:rPr>
      </w:pPr>
    </w:p>
    <w:p>
      <w:pPr>
        <w:spacing w:after="0" w:line="332"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In addition, each non-employee Director may periodically, under the 1998 Plan administered by the Board of Directors, receive stock options to purchase shares of common stock at an exercise price equal to the fair market value of such shares on the date of grant. Under the 1998 Plan, the stock options are non-qualified, and no such options awarded in any given year shall provide for the purchase of more than 16,500 shares of common stock by each Director. In December 2003, each non-employee Director, except for the Chairman, was awarded 12,415 stock options. The Chairman was awarded 16,500 stock options and also received cash in the amount of $46,065 in order to deliver a total award value that was twice that of the other Directors, as provided in his compensation package. All options awarded to Directors in 2003 have a term of seven years and vest and become exercisable in three equal increments of one-third in each of the three succeeding Decembers following the grant date.</w:t>
      </w:r>
    </w:p>
    <w:p>
      <w:pPr>
        <w:sectPr>
          <w:pgSz w:w="11900" w:h="16838" w:orient="portrait"/>
          <w:cols w:equalWidth="0" w:num="1">
            <w:col w:w="10219"/>
          </w:cols>
          <w:pgMar w:left="240" w:top="493" w:right="1440" w:bottom="1440" w:gutter="0" w:footer="0" w:header="0"/>
        </w:sectPr>
      </w:pPr>
    </w:p>
    <w:bookmarkStart w:id="157" w:name="page158"/>
    <w:bookmarkEnd w:id="157"/>
    <w:p>
      <w:pPr>
        <w:ind w:left="2705"/>
        <w:spacing w:after="0"/>
        <w:rPr>
          <w:sz w:val="20"/>
          <w:szCs w:val="20"/>
          <w:color w:val="auto"/>
        </w:rPr>
      </w:pPr>
      <w:r>
        <w:rPr>
          <w:rFonts w:ascii="Courier New" w:cs="Courier New" w:eastAsia="Courier New" w:hAnsi="Courier New"/>
          <w:sz w:val="16"/>
          <w:szCs w:val="16"/>
          <w:color w:val="auto"/>
        </w:rPr>
        <w:t>EXECUTIVE COMPENSATION</w:t>
      </w:r>
    </w:p>
    <w:p>
      <w:pPr>
        <w:spacing w:after="0" w:line="183" w:lineRule="exact"/>
        <w:rPr>
          <w:sz w:val="20"/>
          <w:szCs w:val="20"/>
          <w:color w:val="auto"/>
        </w:rPr>
      </w:pPr>
    </w:p>
    <w:p>
      <w:pPr>
        <w:ind w:left="5" w:right="3340" w:firstLine="558"/>
        <w:spacing w:after="0" w:line="235" w:lineRule="auto"/>
        <w:rPr>
          <w:sz w:val="20"/>
          <w:szCs w:val="20"/>
          <w:color w:val="auto"/>
        </w:rPr>
      </w:pPr>
      <w:r>
        <w:rPr>
          <w:rFonts w:ascii="Courier New" w:cs="Courier New" w:eastAsia="Courier New" w:hAnsi="Courier New"/>
          <w:sz w:val="16"/>
          <w:szCs w:val="16"/>
          <w:color w:val="auto"/>
        </w:rPr>
        <w:t>The following table sets forth information on compensation earned in 2003, 2002 and 2001 by LII's Chief Executive Officer and its four other most highly compensated executive officers, such individuals sometimes being referred to in this proxy statement as the "named executive officers."</w:t>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312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w w:val="96"/>
              </w:rPr>
              <w:t>Summary Compensation Table</w:t>
            </w: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16"/>
        </w:trPr>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Long-Term Compensation</w:t>
            </w:r>
          </w:p>
        </w:tc>
        <w:tc>
          <w:tcPr>
            <w:tcW w:w="1480" w:type="dxa"/>
            <w:vAlign w:val="bottom"/>
          </w:tcPr>
          <w:p>
            <w:pPr>
              <w:spacing w:after="0"/>
              <w:rPr>
                <w:sz w:val="24"/>
                <w:szCs w:val="24"/>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8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7"/>
              </w:rPr>
              <w:t>-------------------------------------</w:t>
            </w:r>
          </w:p>
        </w:tc>
        <w:tc>
          <w:tcPr>
            <w:tcW w:w="148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gridSpan w:val="2"/>
          </w:tcPr>
          <w:p>
            <w:pPr>
              <w:jc w:val="right"/>
              <w:ind w:right="1002"/>
              <w:spacing w:after="0" w:line="179" w:lineRule="exact"/>
              <w:rPr>
                <w:sz w:val="20"/>
                <w:szCs w:val="20"/>
                <w:color w:val="auto"/>
              </w:rPr>
            </w:pPr>
            <w:r>
              <w:rPr>
                <w:rFonts w:ascii="Courier New" w:cs="Courier New" w:eastAsia="Courier New" w:hAnsi="Courier New"/>
                <w:sz w:val="16"/>
                <w:szCs w:val="16"/>
                <w:color w:val="auto"/>
              </w:rPr>
              <w:t>Awards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Payouts</w:t>
            </w:r>
          </w:p>
        </w:tc>
        <w:tc>
          <w:tcPr>
            <w:tcW w:w="148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c>
          <w:tcPr>
            <w:tcW w:w="148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Restricted</w:t>
            </w:r>
          </w:p>
        </w:tc>
        <w:tc>
          <w:tcPr>
            <w:tcW w:w="13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Stock</w:t>
            </w:r>
          </w:p>
        </w:tc>
        <w:tc>
          <w:tcPr>
            <w:tcW w:w="136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Options/SARs</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LTIP</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All Other</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Named Executive Officer</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Year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Salary</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Bonus(1)</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Awards(2)</w:t>
            </w:r>
          </w:p>
        </w:tc>
        <w:tc>
          <w:tcPr>
            <w:tcW w:w="13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Granted</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Payouts(3)</w:t>
            </w:r>
          </w:p>
        </w:tc>
        <w:tc>
          <w:tcPr>
            <w:tcW w:w="14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Compensation(4)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w w:val="89"/>
              </w:rPr>
              <w:t>- ---------------------------</w:t>
            </w:r>
          </w:p>
        </w:tc>
        <w:tc>
          <w:tcPr>
            <w:tcW w:w="94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8"/>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Robert E. Schjerven</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$802,500</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$1,156,043</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$1,777,499</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123,902</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$205,265</w:t>
            </w:r>
          </w:p>
        </w:tc>
        <w:tc>
          <w:tcPr>
            <w:tcW w:w="14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$232,703</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Chief Executive Officer</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750,000</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1,725,000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2,094,618</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440,950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104,569</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148,784</w:t>
            </w:r>
          </w:p>
        </w:tc>
      </w:tr>
      <w:tr>
        <w:trPr>
          <w:trHeight w:val="179"/>
        </w:trPr>
        <w:tc>
          <w:tcPr>
            <w:tcW w:w="2500" w:type="dxa"/>
            <w:vAlign w:val="bottom"/>
          </w:tcPr>
          <w:p>
            <w:pPr>
              <w:spacing w:after="0"/>
              <w:rPr>
                <w:sz w:val="15"/>
                <w:szCs w:val="15"/>
                <w:color w:val="auto"/>
              </w:rPr>
            </w:pP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750,000</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900,000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78,137</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68,888</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Harry J. Ashenhurst, Ph.D.</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399,324</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470,007</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488,772</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34,070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108,358</w:t>
            </w:r>
          </w:p>
        </w:tc>
        <w:tc>
          <w:tcPr>
            <w:tcW w:w="14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85,581</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Executive Vice President</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368,376</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557,169</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1,079,635</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88,410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64,350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56,881</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and Chief Administrative</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368,376</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287,333</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58,603</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32,817</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Officer</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Scott J. Boxer</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381,688</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567,928</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883,572</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34,070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88,199</w:t>
            </w:r>
          </w:p>
        </w:tc>
        <w:tc>
          <w:tcPr>
            <w:tcW w:w="14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126,887</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President/COO</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320,256</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457,934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1,079,635</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88,410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48,263</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54,578</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Service Experts Inc.</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320,256</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249,800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29,222</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Robert J. McDonough</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367,866</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339,952</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883,572</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34,070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75,599</w:t>
            </w:r>
          </w:p>
        </w:tc>
        <w:tc>
          <w:tcPr>
            <w:tcW w:w="14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78,574</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President/COO World Wide</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320,004</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484,470</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1,079,635</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88,410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36,192</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46,071</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Heating &amp; Cooling</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300,004</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152,102</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41,005</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Carl E. Edwards Jr. (5)</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335,112</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394,429</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108,358</w:t>
            </w:r>
          </w:p>
        </w:tc>
        <w:tc>
          <w:tcPr>
            <w:tcW w:w="14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76,609</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Executive Vice President</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2002</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320,988</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485,494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1,079,635</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88,410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64,350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52,281</w:t>
            </w: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Chief Legal Officer</w:t>
            </w:r>
          </w:p>
        </w:tc>
        <w:tc>
          <w:tcPr>
            <w:tcW w:w="9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320,988</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250,371</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58,603</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30,811</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65" w:right="3720" w:hanging="565"/>
        <w:spacing w:after="0" w:line="234" w:lineRule="auto"/>
        <w:tabs>
          <w:tab w:leader="none" w:pos="56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annual incentive payments for the respective year from annual variable pay plans and other bonuses.</w:t>
      </w:r>
    </w:p>
    <w:p>
      <w:pPr>
        <w:spacing w:after="0" w:line="183" w:lineRule="exact"/>
        <w:rPr>
          <w:rFonts w:ascii="Courier New" w:cs="Courier New" w:eastAsia="Courier New" w:hAnsi="Courier New"/>
          <w:sz w:val="16"/>
          <w:szCs w:val="16"/>
          <w:color w:val="auto"/>
        </w:rPr>
      </w:pPr>
    </w:p>
    <w:p>
      <w:pPr>
        <w:ind w:left="565" w:right="3340" w:hanging="565"/>
        <w:spacing w:after="0" w:line="271" w:lineRule="auto"/>
        <w:tabs>
          <w:tab w:leader="none" w:pos="56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PSP awards and restricted stock awards of the following number of shares of LII common stock granted pursuant to the 1998 Plan multiplied by the average of the high and low price of LII common stock on the New York Stock Exchange (the "Fair Market Value") on the grant date(s). PSP awards in December 2003 at a Fair Market Value of $16.76 per share are as follows: Mr. Schjerven 53,951 shares; Dr. Ashenhurst 14,835 shares; Mr. Boxer 14,835 shares and Mr. McDonough 14,835 shares. For the December 2003 PSP grant, shares granted will vest in December 2006 providing specific performance targets are met. If, at the end of the performance period, at least the minimum performance level has been attained, the earned PSP award will be vested and will be distributed. To the extent the earned award payout level attained is less than 100%, the difference between 100% and the earned award distributed, if any, shall be forfeited. Restricted stock awards in December 2003 at a Fair Market Value of $16.76 per share are as follows: Mr. Schjerven 52,105 shares; Dr. Ashenhurst 14,328 shares; Mr. Boxer 14,328 shares; and Mr. McDonough 14,328 shares. For the December 2003 restricted stock grant, all shares granted will vest and be distributed in December 2006, providing continued employment with LII. Mr. Boxer and Mr. McDonough received 30,000 restricted stock awards in July 2003 upon a major management reorganization. PSP awards in December 2002 at a Fair Market Value of $13.375 per share are as follows: Mr. Schjerven 70,800 shares; Dr. Ashenhurst 28,000 shares; Mr. Boxer 28,000 shares; Mr. McDonough 28,000 shares; and Mr. Edwards 28,000 shares. All December 2002 PSP shares will vest in December 2005 providing performance targets are met. There were no stock awards in 2001 due to an insufficient number of shares remaining in the 1998 Plan; therefore, upon Stockholder approval of additional shares at the 2002 Annual Meeting of Stockholders, the delayed 2001 award was made in May 2002, with the normal grant schedule resuming in December 2002. PSP awards in May 2002 at a Fair Market Value of $16.21 per share are</w:t>
      </w:r>
    </w:p>
    <w:p>
      <w:pPr>
        <w:sectPr>
          <w:pgSz w:w="11900" w:h="16838" w:orient="portrait"/>
          <w:cols w:equalWidth="0" w:num="1">
            <w:col w:w="10785"/>
          </w:cols>
          <w:pgMar w:left="235" w:top="649" w:right="879" w:bottom="1440" w:gutter="0" w:footer="0" w:header="0"/>
        </w:sectPr>
      </w:pPr>
    </w:p>
    <w:bookmarkStart w:id="158" w:name="page159"/>
    <w:bookmarkEnd w:id="158"/>
    <w:p>
      <w:pPr>
        <w:ind w:left="565" w:right="2880"/>
        <w:spacing w:after="0" w:line="273" w:lineRule="auto"/>
        <w:rPr>
          <w:sz w:val="20"/>
          <w:szCs w:val="20"/>
          <w:color w:val="auto"/>
        </w:rPr>
      </w:pPr>
      <w:r>
        <w:rPr>
          <w:rFonts w:ascii="Courier New" w:cs="Courier New" w:eastAsia="Courier New" w:hAnsi="Courier New"/>
          <w:sz w:val="14"/>
          <w:szCs w:val="14"/>
          <w:color w:val="auto"/>
        </w:rPr>
        <w:t>as follows: Mr. Schjerven 70,800 shares; Dr. Ashenhurst 28,000 shares; Mr. Boxer 28,000 shares; Mr. McDonough 28,000 shares; and Mr. Edwards 28,000 shares. All May 2002 PSP shares will vest in December 2004 providing performance targets are met. For the 2002 and 2001 PSP grants, shares that do not vest in any performance period due to failure to achieve performance targets will vest 10 years from the grant date. A special restricted stock award in July 2002 at a Fair Market Value of $16.21 per share are as follows: Dr. Ashenhurst 15,500 shares; Mr. Boxer 15,500 shares; Mr. McDonough 15,500 shares; and Mr. Edwards 15,500 shares. For the July 2002 restricted stock grant, all shares granted will vest and be distributed in July 2005, providing continued employment with LII.</w:t>
      </w:r>
    </w:p>
    <w:p>
      <w:pPr>
        <w:spacing w:after="0" w:line="343" w:lineRule="exact"/>
        <w:rPr>
          <w:sz w:val="20"/>
          <w:szCs w:val="20"/>
          <w:color w:val="auto"/>
        </w:rPr>
      </w:pPr>
    </w:p>
    <w:p>
      <w:pPr>
        <w:ind w:left="565" w:right="2880" w:hanging="565"/>
        <w:spacing w:after="0" w:line="272" w:lineRule="auto"/>
        <w:tabs>
          <w:tab w:leader="none" w:pos="56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2003 amounts represent the value of earned awards in the form of LII common stock for the PSP for the 2000-2002 performance period, paid in April 2003. 2002 amounts represent the value of earned awards in the form of LII common stock for the PSP for the 1999-2001 performance period, paid in 2002. 2001 amounts represent the value of earned awards in the form of LII common stock for the PSP for the 1999-2000 performance period, paid in 2001. As discussed in footnote 3 to our financial statements contained in our Annual Report on Form 10-K for the year ended December 31, 2003, LII has identified downward adjustments of $1.0 million and $4.6 million relating, respectively, to 2001 and years prior to 2001. Inclusion of the relevant adjustment in the 2001 period would have deferred the vesting and receipt (but not the amount) of the PSP grant for the 2000-2002 performance period until 2009, providing the recipient remains in LII's employ. Inclusion of the relevant adjustments in the pre-2001 period would have reduced the amount received by the named executive officers by $17,000 in the aggregate. Vesting and receipt of this amount would have been deferred until 2007, provided the recipient remains in LII's employ. Because Mr. Edwards retired from the company in 2004, his total award for the 2000-2002 performance period and approximately $5,000 of his award for the 1999-2000 performance period would have been forfeited.</w:t>
      </w:r>
    </w:p>
    <w:p>
      <w:pPr>
        <w:spacing w:after="0" w:line="341" w:lineRule="exact"/>
        <w:rPr>
          <w:rFonts w:ascii="Courier New" w:cs="Courier New" w:eastAsia="Courier New" w:hAnsi="Courier New"/>
          <w:sz w:val="14"/>
          <w:szCs w:val="14"/>
          <w:color w:val="auto"/>
        </w:rPr>
      </w:pPr>
    </w:p>
    <w:p>
      <w:pPr>
        <w:ind w:left="565" w:right="2880" w:hanging="565"/>
        <w:spacing w:after="0" w:line="236" w:lineRule="auto"/>
        <w:tabs>
          <w:tab w:leader="none" w:pos="56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Composed of contributions by LII to its profit sharing retirement plan and profit sharing restoration plan and the dollar value of term life insurance premiums paid by LII. Contributions to the plans were as follows: In 2003: Mr. Schjerven -- $217,387; Dr. Ashenhurst -- $79,630; Mr. Boxer -- $69,382, in addition to $46,552 as payment for installation of LII equipment under executive equipment program; Mr. McDonough -- $67,866; Mr. Edwards -- $68,263. In 2002: Mr. Schjerven -- $133,494; Dr. Ashenhurst -- $50,953; Mr. Boxer -- $43,642; Mr. McDonough -- $38,001; Mr. Edwards -- $43,951. In 2001: Mr. Schjerven -- $54,154; Dr. Ashenhurst -- $27,060; Mr. Boxer -- $19,502; Mr. McDonough -- $29,197; Mr. Edwards -- $23,082.</w:t>
      </w:r>
    </w:p>
    <w:p>
      <w:pPr>
        <w:spacing w:after="0" w:line="186" w:lineRule="exact"/>
        <w:rPr>
          <w:rFonts w:ascii="Courier New" w:cs="Courier New" w:eastAsia="Courier New" w:hAnsi="Courier New"/>
          <w:sz w:val="16"/>
          <w:szCs w:val="16"/>
          <w:color w:val="auto"/>
        </w:rPr>
      </w:pPr>
    </w:p>
    <w:p>
      <w:pPr>
        <w:ind w:left="565" w:right="3440" w:hanging="565"/>
        <w:spacing w:after="0" w:line="234" w:lineRule="auto"/>
        <w:tabs>
          <w:tab w:leader="none" w:pos="56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Edwards announced his upcoming retirement and, therefore, became ineligible for 2003 long-term incentive awards.</w:t>
      </w:r>
    </w:p>
    <w:p>
      <w:pPr>
        <w:spacing w:after="0" w:line="183" w:lineRule="exact"/>
        <w:rPr>
          <w:sz w:val="20"/>
          <w:szCs w:val="20"/>
          <w:color w:val="auto"/>
        </w:rPr>
      </w:pPr>
    </w:p>
    <w:p>
      <w:pPr>
        <w:ind w:left="5" w:right="2880"/>
        <w:spacing w:after="0" w:line="234" w:lineRule="auto"/>
        <w:rPr>
          <w:sz w:val="20"/>
          <w:szCs w:val="20"/>
          <w:color w:val="auto"/>
        </w:rPr>
      </w:pPr>
      <w:r>
        <w:rPr>
          <w:rFonts w:ascii="Courier New" w:cs="Courier New" w:eastAsia="Courier New" w:hAnsi="Courier New"/>
          <w:sz w:val="16"/>
          <w:szCs w:val="16"/>
          <w:color w:val="auto"/>
        </w:rPr>
        <w:t>The following table provides information concerning stock options granted to the named executive officers in 2003.</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Option/SAR Grants in Last Fiscal Year</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Individual Grants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754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Percent of</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Number of</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Total</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Securities</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Options/SARs</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2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Underlying</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Granted to</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Grant Date</w:t>
            </w:r>
          </w:p>
        </w:tc>
      </w:tr>
      <w:tr>
        <w:trPr>
          <w:trHeight w:val="179"/>
        </w:trPr>
        <w:tc>
          <w:tcPr>
            <w:tcW w:w="2780" w:type="dxa"/>
            <w:vAlign w:val="bottom"/>
          </w:tcPr>
          <w:p>
            <w:pPr>
              <w:spacing w:after="0"/>
              <w:rPr>
                <w:sz w:val="15"/>
                <w:szCs w:val="15"/>
                <w:color w:val="auto"/>
              </w:rPr>
            </w:pP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Grant</w:t>
            </w:r>
          </w:p>
        </w:tc>
        <w:tc>
          <w:tcPr>
            <w:tcW w:w="13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Options/SARs</w:t>
            </w:r>
          </w:p>
        </w:tc>
        <w:tc>
          <w:tcPr>
            <w:tcW w:w="13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Employees in</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Exercise or</w:t>
            </w:r>
          </w:p>
        </w:tc>
        <w:tc>
          <w:tcPr>
            <w:tcW w:w="12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7"/>
              </w:rPr>
              <w:t>Expiration</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Present</w:t>
            </w:r>
          </w:p>
        </w:tc>
      </w:tr>
      <w:tr>
        <w:trPr>
          <w:trHeight w:val="179"/>
        </w:trPr>
        <w:tc>
          <w:tcPr>
            <w:tcW w:w="27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Name</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Date</w:t>
            </w:r>
          </w:p>
        </w:tc>
        <w:tc>
          <w:tcPr>
            <w:tcW w:w="13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Granted</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Fiscal Year</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Base Price(1)</w:t>
            </w:r>
          </w:p>
        </w:tc>
        <w:tc>
          <w:tcPr>
            <w:tcW w:w="12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8"/>
              </w:rPr>
              <w:t>Date</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Value(2)</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3"/>
              </w:rPr>
              <w:t>--------</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Robert E. Schjerven..........</w:t>
            </w: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12/11/03</w:t>
            </w:r>
          </w:p>
        </w:tc>
        <w:tc>
          <w:tcPr>
            <w:tcW w:w="13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123,902</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11.81</w:t>
            </w:r>
          </w:p>
        </w:tc>
        <w:tc>
          <w:tcPr>
            <w:tcW w:w="14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$16.76</w:t>
            </w:r>
          </w:p>
        </w:tc>
        <w:tc>
          <w:tcPr>
            <w:tcW w:w="122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6"/>
              </w:rPr>
              <w:t>12/11/10</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$784,300</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Harry J. Ashenhurst, Ph.D. ..</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12/11/03</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34,070</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3.25</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16.76</w:t>
            </w:r>
          </w:p>
        </w:tc>
        <w:tc>
          <w:tcPr>
            <w:tcW w:w="12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12/11/10</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215,663</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Scott J. Boxer...............</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12/11/03</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34,070</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3.25</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16.76</w:t>
            </w:r>
          </w:p>
        </w:tc>
        <w:tc>
          <w:tcPr>
            <w:tcW w:w="12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12/11/10</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215,663</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Robert J. McDonough..........</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12/11/03</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34,070</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3.25</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16.76</w:t>
            </w:r>
          </w:p>
        </w:tc>
        <w:tc>
          <w:tcPr>
            <w:tcW w:w="1220" w:type="dxa"/>
            <w:vAlign w:val="bottom"/>
          </w:tcPr>
          <w:p>
            <w:pPr>
              <w:jc w:val="center"/>
              <w:ind w:right="202"/>
              <w:spacing w:after="0" w:line="179" w:lineRule="exact"/>
              <w:rPr>
                <w:sz w:val="20"/>
                <w:szCs w:val="20"/>
                <w:color w:val="auto"/>
              </w:rPr>
            </w:pPr>
            <w:r>
              <w:rPr>
                <w:rFonts w:ascii="Courier New" w:cs="Courier New" w:eastAsia="Courier New" w:hAnsi="Courier New"/>
                <w:sz w:val="16"/>
                <w:szCs w:val="16"/>
                <w:color w:val="auto"/>
                <w:w w:val="96"/>
              </w:rPr>
              <w:t>12/11/10</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215,663</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Carl E. Edwards, Jr.(3)......</w:t>
            </w:r>
          </w:p>
        </w:tc>
        <w:tc>
          <w:tcPr>
            <w:tcW w:w="10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12/11/03</w:t>
            </w:r>
          </w:p>
        </w:tc>
        <w:tc>
          <w:tcPr>
            <w:tcW w:w="13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N/A</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N/A</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N/A</w:t>
            </w:r>
          </w:p>
        </w:tc>
      </w:tr>
    </w:tbl>
    <w:p>
      <w:pPr>
        <w:spacing w:after="0" w:line="355" w:lineRule="exact"/>
        <w:rPr>
          <w:sz w:val="20"/>
          <w:szCs w:val="20"/>
          <w:color w:val="auto"/>
        </w:rPr>
      </w:pPr>
    </w:p>
    <w:p>
      <w:pPr>
        <w:ind w:left="5"/>
        <w:spacing w:after="0"/>
        <w:tabs>
          <w:tab w:leader="none" w:pos="544"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Equals the Fair Market Value of the LII common stock on the date of grant.</w:t>
      </w:r>
    </w:p>
    <w:p>
      <w:pPr>
        <w:sectPr>
          <w:pgSz w:w="11900" w:h="16838" w:orient="portrait"/>
          <w:cols w:equalWidth="0" w:num="1">
            <w:col w:w="10325"/>
          </w:cols>
          <w:pgMar w:left="235" w:top="655" w:right="1339" w:bottom="1440" w:gutter="0" w:footer="0" w:header="0"/>
        </w:sectPr>
      </w:pPr>
    </w:p>
    <w:bookmarkStart w:id="159" w:name="page160"/>
    <w:bookmarkEnd w:id="159"/>
    <w:p>
      <w:pPr>
        <w:ind w:left="565" w:right="2779" w:hanging="565"/>
        <w:spacing w:after="0" w:line="275" w:lineRule="auto"/>
        <w:tabs>
          <w:tab w:leader="none" w:pos="56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using the Black-Scholes option valuation model using the following assumptions: stock price volatility of 50.0% which represents an average volatility among general industry companies; expected option life of 7.0 years; dividend yield of 2.24%; risk free interest rate of 3.75%; modified derived value of $6.33, which includes the following additional assumptions: discounts for the probability of termination for death, disability, retirement and voluntary/involuntary terminations.</w:t>
      </w:r>
    </w:p>
    <w:p>
      <w:pPr>
        <w:spacing w:after="0" w:line="337" w:lineRule="exact"/>
        <w:rPr>
          <w:rFonts w:ascii="Courier New" w:cs="Courier New" w:eastAsia="Courier New" w:hAnsi="Courier New"/>
          <w:sz w:val="14"/>
          <w:szCs w:val="14"/>
          <w:color w:val="auto"/>
        </w:rPr>
      </w:pPr>
    </w:p>
    <w:p>
      <w:pPr>
        <w:ind w:left="565" w:right="3339" w:hanging="565"/>
        <w:spacing w:after="0" w:line="234" w:lineRule="auto"/>
        <w:tabs>
          <w:tab w:leader="none" w:pos="56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Edwards announced his upcoming retirement and, therefore, became ineligible for 2003 long-term incentive awards.</w:t>
      </w:r>
    </w:p>
    <w:p>
      <w:pPr>
        <w:spacing w:after="0" w:line="183" w:lineRule="exact"/>
        <w:rPr>
          <w:sz w:val="20"/>
          <w:szCs w:val="20"/>
          <w:color w:val="auto"/>
        </w:rPr>
      </w:pPr>
    </w:p>
    <w:p>
      <w:pPr>
        <w:ind w:left="5" w:right="2779" w:firstLine="558"/>
        <w:spacing w:after="0" w:line="235" w:lineRule="auto"/>
        <w:rPr>
          <w:sz w:val="20"/>
          <w:szCs w:val="20"/>
          <w:color w:val="auto"/>
        </w:rPr>
      </w:pPr>
      <w:r>
        <w:rPr>
          <w:rFonts w:ascii="Courier New" w:cs="Courier New" w:eastAsia="Courier New" w:hAnsi="Courier New"/>
          <w:sz w:val="16"/>
          <w:szCs w:val="16"/>
          <w:color w:val="auto"/>
        </w:rPr>
        <w:t>The following table provides the options exercised during 2003 for each of the named executive officers and the number of options and the value of unexercised options held by each named executive officer as of December 31, 2003.</w:t>
      </w:r>
    </w:p>
    <w:p>
      <w:pPr>
        <w:spacing w:after="0" w:line="185" w:lineRule="exact"/>
        <w:rPr>
          <w:sz w:val="20"/>
          <w:szCs w:val="20"/>
          <w:color w:val="auto"/>
        </w:rPr>
      </w:pPr>
    </w:p>
    <w:p>
      <w:pPr>
        <w:ind w:left="5" w:right="2879" w:firstLine="1116"/>
        <w:spacing w:after="0" w:line="234" w:lineRule="auto"/>
        <w:rPr>
          <w:sz w:val="20"/>
          <w:szCs w:val="20"/>
          <w:color w:val="auto"/>
        </w:rPr>
      </w:pPr>
      <w:r>
        <w:rPr>
          <w:rFonts w:ascii="Courier New" w:cs="Courier New" w:eastAsia="Courier New" w:hAnsi="Courier New"/>
          <w:sz w:val="16"/>
          <w:szCs w:val="16"/>
          <w:color w:val="auto"/>
        </w:rPr>
        <w:t>Aggregated Option Exercises in Last Fiscal Year and Fiscal Year-End Option Values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Number of Securities</w:t>
            </w:r>
          </w:p>
        </w:tc>
        <w:tc>
          <w:tcPr>
            <w:tcW w:w="260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Value of Unexercised</w:t>
            </w:r>
          </w:p>
        </w:tc>
      </w:tr>
      <w:tr>
        <w:trPr>
          <w:trHeight w:val="179"/>
        </w:trPr>
        <w:tc>
          <w:tcPr>
            <w:tcW w:w="2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Underlying Unexercised</w:t>
            </w:r>
          </w:p>
        </w:tc>
        <w:tc>
          <w:tcPr>
            <w:tcW w:w="26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In-the-Money</w:t>
            </w:r>
          </w:p>
        </w:tc>
      </w:tr>
      <w:tr>
        <w:trPr>
          <w:trHeight w:val="179"/>
        </w:trPr>
        <w:tc>
          <w:tcPr>
            <w:tcW w:w="2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6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5"/>
              </w:rPr>
              <w:t>Options/SARs at</w:t>
            </w:r>
          </w:p>
        </w:tc>
        <w:tc>
          <w:tcPr>
            <w:tcW w:w="26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rPr>
              <w:t>Options/SARs</w:t>
            </w:r>
          </w:p>
        </w:tc>
      </w:tr>
      <w:tr>
        <w:trPr>
          <w:trHeight w:val="179"/>
        </w:trPr>
        <w:tc>
          <w:tcPr>
            <w:tcW w:w="2500" w:type="dxa"/>
            <w:vAlign w:val="bottom"/>
          </w:tcPr>
          <w:p>
            <w:pPr>
              <w:spacing w:after="0"/>
              <w:rPr>
                <w:sz w:val="15"/>
                <w:szCs w:val="15"/>
                <w:color w:val="auto"/>
              </w:rPr>
            </w:pPr>
          </w:p>
        </w:tc>
        <w:tc>
          <w:tcPr>
            <w:tcW w:w="13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Shares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6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December 31, 2003</w:t>
            </w:r>
          </w:p>
        </w:tc>
        <w:tc>
          <w:tcPr>
            <w:tcW w:w="260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at December 31, 2003(1)</w:t>
            </w:r>
          </w:p>
        </w:tc>
      </w:tr>
      <w:tr>
        <w:trPr>
          <w:trHeight w:val="179"/>
        </w:trPr>
        <w:tc>
          <w:tcPr>
            <w:tcW w:w="250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Acquired</w:t>
            </w:r>
          </w:p>
        </w:tc>
        <w:tc>
          <w:tcPr>
            <w:tcW w:w="200" w:type="dxa"/>
            <w:vAlign w:val="bottom"/>
          </w:tcPr>
          <w:p>
            <w:pPr>
              <w:spacing w:after="0"/>
              <w:rPr>
                <w:sz w:val="15"/>
                <w:szCs w:val="15"/>
                <w:color w:val="auto"/>
              </w:rPr>
            </w:pPr>
          </w:p>
        </w:tc>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Value</w:t>
            </w:r>
          </w:p>
        </w:tc>
        <w:tc>
          <w:tcPr>
            <w:tcW w:w="2760" w:type="dxa"/>
            <w:vAlign w:val="bottom"/>
            <w:gridSpan w:val="2"/>
          </w:tcPr>
          <w:p>
            <w:pPr>
              <w:jc w:val="center"/>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26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5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Name</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on Exercise</w:t>
            </w: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6"/>
              </w:rPr>
              <w:t>Realized</w:t>
            </w:r>
          </w:p>
        </w:tc>
        <w:tc>
          <w:tcPr>
            <w:tcW w:w="13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Exercisable</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Unexercisable</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Exercisable</w:t>
            </w:r>
          </w:p>
        </w:tc>
        <w:tc>
          <w:tcPr>
            <w:tcW w:w="14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Unexercisable</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c>
          <w:tcPr>
            <w:tcW w:w="200" w:type="dxa"/>
            <w:vAlign w:val="bottom"/>
          </w:tcPr>
          <w:p>
            <w:pPr>
              <w:spacing w:after="0"/>
              <w:rPr>
                <w:sz w:val="15"/>
                <w:szCs w:val="15"/>
                <w:color w:val="auto"/>
              </w:rPr>
            </w:pPr>
          </w:p>
        </w:tc>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Robert E. Schjerven....</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666,545</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347,876</w:t>
            </w:r>
          </w:p>
        </w:tc>
        <w:tc>
          <w:tcPr>
            <w:tcW w:w="1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$3,580,974</w:t>
            </w: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$625,821</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Harry J. Ashenhurst,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252,823</w:t>
            </w:r>
          </w:p>
        </w:tc>
        <w:tc>
          <w:tcPr>
            <w:tcW w:w="14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78,976</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1,111,743</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127,229</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Ph.D...................</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J. Boxer.........</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206,691</w:t>
            </w:r>
          </w:p>
        </w:tc>
        <w:tc>
          <w:tcPr>
            <w:tcW w:w="14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78,976</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899,807</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127,229</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J. McDonough....</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w:t>
            </w:r>
          </w:p>
        </w:tc>
        <w:tc>
          <w:tcPr>
            <w:tcW w:w="20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209,890</w:t>
            </w:r>
          </w:p>
        </w:tc>
        <w:tc>
          <w:tcPr>
            <w:tcW w:w="14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78,976</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1,066,996</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127,229</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Carl E. Edwards, Jr....</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150,000</w:t>
            </w:r>
          </w:p>
        </w:tc>
        <w:tc>
          <w:tcPr>
            <w:tcW w:w="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882,491</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102,823</w:t>
            </w:r>
          </w:p>
        </w:tc>
        <w:tc>
          <w:tcPr>
            <w:tcW w:w="14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44,906</w:t>
            </w:r>
          </w:p>
        </w:tc>
        <w:tc>
          <w:tcPr>
            <w:tcW w:w="12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261,878</w:t>
            </w: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120,755</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65" w:right="2959" w:hanging="565"/>
        <w:spacing w:after="0" w:line="235" w:lineRule="auto"/>
        <w:tabs>
          <w:tab w:leader="none" w:pos="56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on the basis of the Fair Market Value of the underlying securities as of December 31, 2003, $16.95 per share, minus the exercise price for "in-the-money" options.</w:t>
      </w:r>
    </w:p>
    <w:p>
      <w:pPr>
        <w:spacing w:after="0" w:line="183" w:lineRule="exact"/>
        <w:rPr>
          <w:sz w:val="20"/>
          <w:szCs w:val="20"/>
          <w:color w:val="auto"/>
        </w:rPr>
      </w:pPr>
    </w:p>
    <w:p>
      <w:pPr>
        <w:ind w:left="5" w:right="2779" w:firstLine="558"/>
        <w:spacing w:after="0" w:line="272" w:lineRule="auto"/>
        <w:rPr>
          <w:sz w:val="20"/>
          <w:szCs w:val="20"/>
          <w:color w:val="auto"/>
        </w:rPr>
      </w:pPr>
      <w:r>
        <w:rPr>
          <w:rFonts w:ascii="Courier New" w:cs="Courier New" w:eastAsia="Courier New" w:hAnsi="Courier New"/>
          <w:sz w:val="14"/>
          <w:szCs w:val="14"/>
          <w:color w:val="auto"/>
        </w:rPr>
        <w:t>The following table provides information concerning PSP awards and restricted stock awards made in 2003 to the named executive officers under the 1998 Plan. The named executive officers were awarded a number of PSP shares of LII common stock in December 2003 subject to achievement of performance targets based on the return on invested capital for a three-year period. For PSP grants made in 2002, information about the portion of the PSP award that becomes vested regardless of whether the performance goals are met is presented in the notes to the "Summary Compensation Table" above. Presented below is the maximum number of PSP shares of LII common stock that may be payable to each of the named executive officers that is subject to achievement of the performance goals. The actual number of shares awarded depends on the level of achievement of the performance objectives. Additionally, the named executive officers were awarded a restricted stock grant in December 2003 whereby all shares vest in December 2006 providing continued employment.</w:t>
      </w:r>
    </w:p>
    <w:p>
      <w:pPr>
        <w:sectPr>
          <w:pgSz w:w="11900" w:h="16838" w:orient="portrait"/>
          <w:cols w:equalWidth="0" w:num="1">
            <w:col w:w="10224"/>
          </w:cols>
          <w:pgMar w:left="235" w:top="655" w:right="1440" w:bottom="1440" w:gutter="0" w:footer="0" w:header="0"/>
        </w:sectPr>
      </w:pPr>
    </w:p>
    <w:bookmarkStart w:id="160" w:name="page161"/>
    <w:bookmarkEnd w:id="160"/>
    <w:tbl>
      <w:tblPr>
        <w:tblLayout w:type="fixed"/>
        <w:tblInd w:w="5" w:type="dxa"/>
        <w:tblCellMar>
          <w:top w:w="0" w:type="dxa"/>
          <w:left w:w="0" w:type="dxa"/>
          <w:bottom w:w="0" w:type="dxa"/>
          <w:right w:w="0" w:type="dxa"/>
        </w:tblCellMar>
      </w:tblPr>
      <w:tr>
        <w:trPr>
          <w:trHeight w:val="181"/>
        </w:trPr>
        <w:tc>
          <w:tcPr>
            <w:tcW w:w="3860" w:type="dxa"/>
            <w:vAlign w:val="bottom"/>
            <w:gridSpan w:val="2"/>
          </w:tcPr>
          <w:p>
            <w:pPr>
              <w:ind w:left="1200"/>
              <w:spacing w:after="0"/>
              <w:rPr>
                <w:sz w:val="20"/>
                <w:szCs w:val="20"/>
                <w:color w:val="auto"/>
              </w:rPr>
            </w:pPr>
            <w:r>
              <w:rPr>
                <w:rFonts w:ascii="Courier New" w:cs="Courier New" w:eastAsia="Courier New" w:hAnsi="Courier New"/>
                <w:sz w:val="16"/>
                <w:szCs w:val="16"/>
                <w:color w:val="auto"/>
                <w:w w:val="98"/>
              </w:rPr>
              <w:t>Long-Term Incentive Plans --</w:t>
            </w:r>
          </w:p>
        </w:tc>
        <w:tc>
          <w:tcPr>
            <w:tcW w:w="306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w w:val="97"/>
              </w:rPr>
              <w:t>Awards in Last Fiscal Year</w:t>
            </w:r>
          </w:p>
        </w:tc>
        <w:tc>
          <w:tcPr>
            <w:tcW w:w="11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716"/>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8"/>
              </w:rPr>
              <w:t>Number of Shares, Units</w:t>
            </w:r>
          </w:p>
        </w:tc>
        <w:tc>
          <w:tcPr>
            <w:tcW w:w="27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7"/>
              </w:rPr>
              <w:t>Performance or Other Period</w:t>
            </w:r>
          </w:p>
        </w:tc>
      </w:tr>
      <w:tr>
        <w:trPr>
          <w:trHeight w:val="179"/>
        </w:trPr>
        <w:tc>
          <w:tcPr>
            <w:tcW w:w="298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Name</w:t>
            </w:r>
          </w:p>
        </w:tc>
        <w:tc>
          <w:tcPr>
            <w:tcW w:w="15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Date of Grant</w:t>
            </w:r>
          </w:p>
        </w:tc>
        <w:tc>
          <w:tcPr>
            <w:tcW w:w="24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or Other Rights</w:t>
            </w:r>
          </w:p>
        </w:tc>
        <w:tc>
          <w:tcPr>
            <w:tcW w:w="27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Until Maturation or Payout</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 -----------------------------</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7"/>
              </w:rPr>
              <w:t>-------------</w:t>
            </w:r>
          </w:p>
        </w:tc>
        <w:tc>
          <w:tcPr>
            <w:tcW w:w="2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Robert E. Schjerven..........</w:t>
            </w:r>
          </w:p>
        </w:tc>
        <w:tc>
          <w:tcPr>
            <w:tcW w:w="1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107,902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E. Schjerven..........</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52,105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Harry J. Ashenhurst, Ph.D....</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29,670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Harry J. Ashenhurst, Ph.D....</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14,328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J. Boxer...............</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29,670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J. Boxer...............</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14,328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J. McDonough..........</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29,670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Robert J. McDonough..........</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14,328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Carl E. Edwards, Jr.(1)......</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spacing w:after="0"/>
              <w:rPr>
                <w:sz w:val="15"/>
                <w:szCs w:val="15"/>
                <w:color w:val="auto"/>
              </w:rPr>
            </w:pP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2980" w:type="dxa"/>
            <w:vAlign w:val="bottom"/>
          </w:tcPr>
          <w:p>
            <w:pPr>
              <w:spacing w:after="0" w:line="179" w:lineRule="exact"/>
              <w:rPr>
                <w:sz w:val="20"/>
                <w:szCs w:val="20"/>
                <w:color w:val="auto"/>
              </w:rPr>
            </w:pPr>
            <w:r>
              <w:rPr>
                <w:rFonts w:ascii="Courier New" w:cs="Courier New" w:eastAsia="Courier New" w:hAnsi="Courier New"/>
                <w:sz w:val="16"/>
                <w:szCs w:val="16"/>
                <w:color w:val="auto"/>
              </w:rPr>
              <w:t>Carl E. Edwards, Jr.(1)......</w:t>
            </w: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12/11/03</w:t>
            </w:r>
          </w:p>
        </w:tc>
        <w:tc>
          <w:tcPr>
            <w:tcW w:w="242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spacing w:after="0"/>
              <w:rPr>
                <w:sz w:val="15"/>
                <w:szCs w:val="15"/>
                <w:color w:val="auto"/>
              </w:rPr>
            </w:pPr>
          </w:p>
        </w:tc>
        <w:tc>
          <w:tcPr>
            <w:tcW w:w="164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N/A</w:t>
            </w:r>
          </w:p>
        </w:tc>
      </w:tr>
    </w:tbl>
    <w:p>
      <w:pPr>
        <w:spacing w:after="0" w:line="362" w:lineRule="exact"/>
        <w:rPr>
          <w:sz w:val="20"/>
          <w:szCs w:val="20"/>
          <w:color w:val="auto"/>
        </w:rPr>
      </w:pPr>
    </w:p>
    <w:p>
      <w:pPr>
        <w:ind w:left="565" w:right="3339" w:hanging="565"/>
        <w:spacing w:after="0" w:line="234" w:lineRule="auto"/>
        <w:tabs>
          <w:tab w:leader="none" w:pos="56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Edwards announced his upcoming retirement and, therefore, became ineligible for 2003 long-term incentive awards.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Retirement Plans</w:t>
      </w:r>
    </w:p>
    <w:p>
      <w:pPr>
        <w:spacing w:after="0" w:line="183" w:lineRule="exact"/>
        <w:rPr>
          <w:sz w:val="20"/>
          <w:szCs w:val="20"/>
          <w:color w:val="auto"/>
        </w:rPr>
      </w:pPr>
    </w:p>
    <w:p>
      <w:pPr>
        <w:ind w:left="5" w:right="2879" w:firstLine="558"/>
        <w:spacing w:after="0" w:line="236" w:lineRule="auto"/>
        <w:rPr>
          <w:sz w:val="20"/>
          <w:szCs w:val="20"/>
          <w:color w:val="auto"/>
        </w:rPr>
      </w:pPr>
      <w:r>
        <w:rPr>
          <w:rFonts w:ascii="Courier New" w:cs="Courier New" w:eastAsia="Courier New" w:hAnsi="Courier New"/>
          <w:sz w:val="16"/>
          <w:szCs w:val="16"/>
          <w:color w:val="auto"/>
        </w:rPr>
        <w:t>The named executive officers participate in four LII-sponsored retirement plans: the pension plan for salaried employees, the profit sharing retirement plan, the profit sharing restoration plan and the supplemental retirement plan. The profit sharing restoration plan and the supplemental retirement plan are "non-qualified plans" under the Code. LII pays the full cost of each of these plans.</w:t>
      </w:r>
    </w:p>
    <w:p>
      <w:pPr>
        <w:spacing w:after="0" w:line="183" w:lineRule="exact"/>
        <w:rPr>
          <w:sz w:val="20"/>
          <w:szCs w:val="20"/>
          <w:color w:val="auto"/>
        </w:rPr>
      </w:pPr>
    </w:p>
    <w:p>
      <w:pPr>
        <w:ind w:left="5" w:right="2779" w:firstLine="558"/>
        <w:spacing w:after="0" w:line="273" w:lineRule="auto"/>
        <w:rPr>
          <w:sz w:val="20"/>
          <w:szCs w:val="20"/>
          <w:color w:val="auto"/>
        </w:rPr>
      </w:pPr>
      <w:r>
        <w:rPr>
          <w:rFonts w:ascii="Courier New" w:cs="Courier New" w:eastAsia="Courier New" w:hAnsi="Courier New"/>
          <w:sz w:val="14"/>
          <w:szCs w:val="14"/>
          <w:color w:val="auto"/>
        </w:rPr>
        <w:t>The pension plan for salaried employees is a floor offset plan. A target benefit is calculated using credited service and final average pay for the highest five consecutive years of compensation. The benefit is currently based on 1.00% of final average pay, plus 0.60% of final average pay above Social Security covered compensation, multiplied by the number of years of credited service, not to exceed 30 years. Employees become vested in the pension plan for salaried employees after five years of service and may commence unreduced benefits at age 65. Once the specified age and service requirements are met, benefits may commence earlier on an actuarially reduced basis. At time of retirement, a participant may choose one of five optional forms of payment.</w:t>
      </w:r>
    </w:p>
    <w:p>
      <w:pPr>
        <w:spacing w:after="0" w:line="344"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The profit sharing retirement plan is a "defined contribution plan" under the Code. Profit sharing contributions, as determined by the Board of Directors, are credited annually to participants' accounts based on total pay. Participants are fully vested after six years of service. The assets of the plan are employer-directed. Distributions may occur at separation of employment and can be paid directly to the participant.</w:t>
      </w:r>
    </w:p>
    <w:p>
      <w:pPr>
        <w:spacing w:after="0" w:line="183" w:lineRule="exact"/>
        <w:rPr>
          <w:sz w:val="20"/>
          <w:szCs w:val="20"/>
          <w:color w:val="auto"/>
        </w:rPr>
      </w:pPr>
    </w:p>
    <w:p>
      <w:pPr>
        <w:ind w:left="5" w:right="2879" w:firstLine="558"/>
        <w:spacing w:after="0" w:line="295" w:lineRule="auto"/>
        <w:rPr>
          <w:sz w:val="20"/>
          <w:szCs w:val="20"/>
          <w:color w:val="auto"/>
        </w:rPr>
      </w:pPr>
      <w:r>
        <w:rPr>
          <w:rFonts w:ascii="Courier New" w:cs="Courier New" w:eastAsia="Courier New" w:hAnsi="Courier New"/>
          <w:sz w:val="14"/>
          <w:szCs w:val="14"/>
          <w:color w:val="auto"/>
        </w:rPr>
        <w:t>The profit sharing restoration plan permits accruals that otherwise could not occur because of Internal Revenue Service limitations on compensation.</w:t>
      </w:r>
    </w:p>
    <w:p>
      <w:pPr>
        <w:spacing w:after="0" w:line="147" w:lineRule="exact"/>
        <w:rPr>
          <w:sz w:val="20"/>
          <w:szCs w:val="20"/>
          <w:color w:val="auto"/>
        </w:rPr>
      </w:pPr>
    </w:p>
    <w:p>
      <w:pPr>
        <w:ind w:left="5" w:right="2879" w:firstLine="558"/>
        <w:spacing w:after="0" w:line="235" w:lineRule="auto"/>
        <w:rPr>
          <w:sz w:val="20"/>
          <w:szCs w:val="20"/>
          <w:color w:val="auto"/>
        </w:rPr>
      </w:pPr>
      <w:r>
        <w:rPr>
          <w:rFonts w:ascii="Courier New" w:cs="Courier New" w:eastAsia="Courier New" w:hAnsi="Courier New"/>
          <w:sz w:val="16"/>
          <w:szCs w:val="16"/>
          <w:color w:val="auto"/>
        </w:rPr>
        <w:t>The supplemental retirement plan permits income above Internal Revenue Service limitations to be considered in determining final average pay, doubles the rate of benefit accrual, limits credited service to 15 years, permits early retirement on somewhat more favorable terms than the pension plan and provides for an additional optional form of payment.</w:t>
      </w:r>
    </w:p>
    <w:p>
      <w:pPr>
        <w:sectPr>
          <w:pgSz w:w="11900" w:h="16838" w:orient="portrait"/>
          <w:cols w:equalWidth="0" w:num="1">
            <w:col w:w="10224"/>
          </w:cols>
          <w:pgMar w:left="235" w:top="649" w:right="1440" w:bottom="1440" w:gutter="0" w:footer="0" w:header="0"/>
        </w:sectPr>
      </w:pPr>
    </w:p>
    <w:bookmarkStart w:id="161" w:name="page162"/>
    <w:bookmarkEnd w:id="161"/>
    <w:p>
      <w:pPr>
        <w:ind w:left="5" w:right="2959" w:firstLine="558"/>
        <w:spacing w:after="0" w:line="235" w:lineRule="auto"/>
        <w:rPr>
          <w:sz w:val="20"/>
          <w:szCs w:val="20"/>
          <w:color w:val="auto"/>
        </w:rPr>
      </w:pPr>
      <w:r>
        <w:rPr>
          <w:rFonts w:ascii="Courier New" w:cs="Courier New" w:eastAsia="Courier New" w:hAnsi="Courier New"/>
          <w:sz w:val="16"/>
          <w:szCs w:val="16"/>
          <w:color w:val="auto"/>
        </w:rPr>
        <w:t>The estimates of annual retirement benefits shown in the following table are the targets established by the supplemental retirement plan. All benefits are computed as a straight-life annuity and are not subject to deduction for Social Security.</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Years of Service</w:t>
            </w: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6420" w:type="dxa"/>
            <w:vAlign w:val="bottom"/>
            <w:gridSpan w:val="9"/>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2003 Final Average Earnings(1)</w:t>
            </w:r>
          </w:p>
        </w:tc>
        <w:tc>
          <w:tcPr>
            <w:tcW w:w="24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w:t>
            </w:r>
          </w:p>
        </w:tc>
        <w:tc>
          <w:tcPr>
            <w:tcW w:w="14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25</w:t>
            </w: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2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w:t>
            </w:r>
          </w:p>
        </w:tc>
        <w:tc>
          <w:tcPr>
            <w:tcW w:w="14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250,000....................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34,780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69,560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$ 104,340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104,340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$ 104,340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$ 104,340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425,000....................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62,780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125,560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600,000....................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272,340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272,340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272,340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272,340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775,000....................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118,780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237,560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356,340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356,340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356,340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356,340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950,000....................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146,780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293,560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440,340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1,125,000....................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174,780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349,560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524,340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524,340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524,340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524,340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1,300,000....................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202,780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405,560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608,340</w:t>
            </w:r>
          </w:p>
        </w:tc>
      </w:tr>
      <w:tr>
        <w:trPr>
          <w:trHeight w:val="179"/>
        </w:trPr>
        <w:tc>
          <w:tcPr>
            <w:tcW w:w="3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9"/>
              </w:rPr>
              <w:t>1,475,000....................</w:t>
            </w:r>
          </w:p>
        </w:tc>
        <w:tc>
          <w:tcPr>
            <w:tcW w:w="240" w:type="dxa"/>
            <w:vAlign w:val="bottom"/>
          </w:tcPr>
          <w:p>
            <w:pPr>
              <w:spacing w:after="0"/>
              <w:rPr>
                <w:sz w:val="15"/>
                <w:szCs w:val="15"/>
                <w:color w:val="auto"/>
              </w:rPr>
            </w:pPr>
          </w:p>
        </w:tc>
        <w:tc>
          <w:tcPr>
            <w:tcW w:w="9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230,780</w:t>
            </w:r>
          </w:p>
        </w:tc>
        <w:tc>
          <w:tcPr>
            <w:tcW w:w="140" w:type="dxa"/>
            <w:vAlign w:val="bottom"/>
          </w:tcPr>
          <w:p>
            <w:pPr>
              <w:spacing w:after="0"/>
              <w:rPr>
                <w:sz w:val="15"/>
                <w:szCs w:val="15"/>
                <w:color w:val="auto"/>
              </w:rPr>
            </w:pPr>
          </w:p>
        </w:tc>
        <w:tc>
          <w:tcPr>
            <w:tcW w:w="8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461,560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692,340</w:t>
            </w:r>
          </w:p>
        </w:tc>
        <w:tc>
          <w:tcPr>
            <w:tcW w:w="14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692,340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692,340</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65" w:right="2879" w:hanging="565"/>
        <w:spacing w:after="0" w:line="236" w:lineRule="auto"/>
        <w:tabs>
          <w:tab w:leader="none" w:pos="56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Average Earnings are the average of the highest five consecutive years of includible earnings. Compensation for these purposes includes salary and bonuses, and excludes extraordinary compensation such as benefits from the 1998 Plan or its predecessor plans. Bonus numbers used in these calculations, as per the 1998 Plan requirements, are the bonuses actually paid in those years. In the "Summary Compensation Table," the 2003 bonus reported is the bonus earned in 2003, but not actually paid until 2004.</w:t>
      </w:r>
    </w:p>
    <w:p>
      <w:pPr>
        <w:spacing w:after="0" w:line="184" w:lineRule="exact"/>
        <w:rPr>
          <w:sz w:val="20"/>
          <w:szCs w:val="20"/>
          <w:color w:val="auto"/>
        </w:rPr>
      </w:pPr>
    </w:p>
    <w:p>
      <w:pPr>
        <w:jc w:val="both"/>
        <w:ind w:left="5" w:right="2779" w:firstLine="558"/>
        <w:spacing w:after="0" w:line="270" w:lineRule="auto"/>
        <w:rPr>
          <w:sz w:val="20"/>
          <w:szCs w:val="20"/>
          <w:color w:val="auto"/>
        </w:rPr>
      </w:pPr>
      <w:r>
        <w:rPr>
          <w:rFonts w:ascii="Courier New" w:cs="Courier New" w:eastAsia="Courier New" w:hAnsi="Courier New"/>
          <w:sz w:val="14"/>
          <w:szCs w:val="14"/>
          <w:color w:val="auto"/>
        </w:rPr>
        <w:t>As of December 31, 2003, the final average earnings and the eligible years of credited service for each of the named executive officers was as follows: Mr. Schjerven $1,319,354 -- 17.8 years; Dr. Ashenhurst $660,053 -- 15.0 years; Mr.</w:t>
      </w:r>
    </w:p>
    <w:p>
      <w:pPr>
        <w:spacing w:after="0" w:line="1"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Boxer $524,822 -- 5.6 years; Mr. McDonough $508,066 -- 8.7 years; Mr. Edwards $568,761 -- 12.0 years.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LII has entered into employment agreements with the named executive officers, which are substantially identical except for the name of the named executive officer who is a party to the agreement and the date of the agreement. These employment agreements establish the basis of compensation and assignments, and contain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 On January 1 of each year, the agreements automatically renew for an additional year, unless either party notifies the other, in writing, at least 30 days prior to such date, of a decision not to renew the agreement.</w:t>
      </w:r>
    </w:p>
    <w:p>
      <w:pPr>
        <w:spacing w:after="0" w:line="187"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If LII terminates a named executive officer prior to the expiration of the term of the agreement or if LII does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184" w:lineRule="exact"/>
        <w:rPr>
          <w:sz w:val="20"/>
          <w:szCs w:val="20"/>
          <w:color w:val="auto"/>
        </w:rPr>
      </w:pPr>
    </w:p>
    <w:p>
      <w:pPr>
        <w:ind w:left="5" w:right="2779" w:firstLine="558"/>
        <w:spacing w:after="0" w:line="236" w:lineRule="auto"/>
        <w:rPr>
          <w:sz w:val="20"/>
          <w:szCs w:val="20"/>
          <w:color w:val="auto"/>
        </w:rPr>
      </w:pPr>
      <w:r>
        <w:rPr>
          <w:rFonts w:ascii="Courier New" w:cs="Courier New" w:eastAsia="Courier New" w:hAnsi="Courier New"/>
          <w:sz w:val="16"/>
          <w:szCs w:val="16"/>
          <w:color w:val="auto"/>
        </w:rPr>
        <w:t>If LII terminates a named executive officer other than for cause, including LII's non-renewal of the agreement, and the employee agrees to execute a written general release of any and all possible claims against LII existing at the time of termination, LII will provide the employee with an enhanced severance package. This package includes payment of the employee's base monthly salary for a period of 24 months following the date of termination, a lump sum in the amount which totals any short-term bonus payments actually paid to the employee over the 24 month period prior to the date of termination, a lump sum payment of a sum equal to 10% of the employee's annual base salary in effect at the time of termination in lieu of perquisites lost, and forgiveness of COBRA premiums due for group health insurance coverage for up to 18 months following termination while the employee remains unemployed. If the employee remains unemployed at the end of 18 months, the equivalent of the COBRA premium will be paid to the employee</w:t>
      </w:r>
    </w:p>
    <w:p>
      <w:pPr>
        <w:sectPr>
          <w:pgSz w:w="11900" w:h="16838" w:orient="portrait"/>
          <w:cols w:equalWidth="0" w:num="1">
            <w:col w:w="10224"/>
          </w:cols>
          <w:pgMar w:left="235" w:top="654" w:right="1440" w:bottom="1440" w:gutter="0" w:footer="0" w:header="0"/>
        </w:sectPr>
      </w:pPr>
    </w:p>
    <w:bookmarkStart w:id="162" w:name="page163"/>
    <w:bookmarkEnd w:id="162"/>
    <w:p>
      <w:pPr>
        <w:ind w:right="2779"/>
        <w:spacing w:after="0" w:line="236" w:lineRule="auto"/>
        <w:rPr>
          <w:sz w:val="20"/>
          <w:szCs w:val="20"/>
          <w:color w:val="auto"/>
        </w:rPr>
      </w:pPr>
      <w:r>
        <w:rPr>
          <w:rFonts w:ascii="Courier New" w:cs="Courier New" w:eastAsia="Courier New" w:hAnsi="Courier New"/>
          <w:sz w:val="16"/>
          <w:szCs w:val="16"/>
          <w:color w:val="auto"/>
        </w:rPr>
        <w:t>on a month-to-month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 OF CONTROL EMPLOYMENT AGREEMENTS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LII has entered into change of control employment agreements with the named executive officers, which are substantially identical except for the name of the named executive officer who is a party to the agreement and the date of the agreement. The change of control agreements provide for certain additional benefits under specified circumstances if a named executive officer's employment is terminated following a change of control transaction involving LII. The change of control agreements are intended to provide protections to the named executive officers that are not afforded by their existing employment agreements, but not to duplicate these benefits. The term of the change of control agreements is generally two years from the date of a change of control or two years from the date of a potential change of control, as discussed below. If the named executive officer remains employed at the conclusion of such term, the officer's existing employment agreement will continue to remain in effect.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the Board of Directors determines that a change of control is not likely or (b) the named executive officer, upon proper notice to LII, elects to terminate the term of the officer's change of control agreement as of any anniversary of the potential change of control.</w:t>
      </w:r>
    </w:p>
    <w:p>
      <w:pPr>
        <w:spacing w:after="0" w:line="194" w:lineRule="exact"/>
        <w:rPr>
          <w:sz w:val="20"/>
          <w:szCs w:val="20"/>
          <w:color w:val="auto"/>
        </w:rPr>
      </w:pPr>
    </w:p>
    <w:p>
      <w:pPr>
        <w:ind w:right="3239" w:firstLine="558"/>
        <w:spacing w:after="0" w:line="234" w:lineRule="auto"/>
        <w:rPr>
          <w:sz w:val="20"/>
          <w:szCs w:val="20"/>
          <w:color w:val="auto"/>
        </w:rPr>
      </w:pPr>
      <w:r>
        <w:rPr>
          <w:rFonts w:ascii="Courier New" w:cs="Courier New" w:eastAsia="Courier New" w:hAnsi="Courier New"/>
          <w:sz w:val="16"/>
          <w:szCs w:val="16"/>
          <w:color w:val="auto"/>
        </w:rPr>
        <w:t>A "change of control" generally includes the occurrence of any of the following:</w:t>
      </w:r>
    </w:p>
    <w:p>
      <w:pPr>
        <w:spacing w:after="0" w:line="183" w:lineRule="exact"/>
        <w:rPr>
          <w:sz w:val="20"/>
          <w:szCs w:val="20"/>
          <w:color w:val="auto"/>
        </w:rPr>
      </w:pPr>
    </w:p>
    <w:p>
      <w:pPr>
        <w:ind w:left="1660" w:right="2779" w:hanging="827"/>
        <w:spacing w:after="0" w:line="235" w:lineRule="auto"/>
        <w:tabs>
          <w:tab w:leader="none" w:pos="1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specified exempt persons which includes LII and its subsidiaries and employee benefit plans, becoming a beneficial owner of 35% or more of the shares of LII voting securities;</w:t>
      </w:r>
    </w:p>
    <w:p>
      <w:pPr>
        <w:spacing w:after="0" w:line="184" w:lineRule="exact"/>
        <w:rPr>
          <w:rFonts w:ascii="Courier New" w:cs="Courier New" w:eastAsia="Courier New" w:hAnsi="Courier New"/>
          <w:sz w:val="16"/>
          <w:szCs w:val="16"/>
          <w:color w:val="auto"/>
        </w:rPr>
      </w:pPr>
    </w:p>
    <w:p>
      <w:pPr>
        <w:ind w:left="1660" w:right="3239" w:hanging="827"/>
        <w:spacing w:after="0" w:line="235" w:lineRule="auto"/>
        <w:tabs>
          <w:tab w:leader="none" w:pos="1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identity of a majority of the Board of Directors, unless approved by a majority of the incumbent members of the Board of Directors;</w:t>
      </w:r>
    </w:p>
    <w:p>
      <w:pPr>
        <w:spacing w:after="0" w:line="183" w:lineRule="exact"/>
        <w:rPr>
          <w:rFonts w:ascii="Courier New" w:cs="Courier New" w:eastAsia="Courier New" w:hAnsi="Courier New"/>
          <w:sz w:val="16"/>
          <w:szCs w:val="16"/>
          <w:color w:val="auto"/>
        </w:rPr>
      </w:pPr>
    </w:p>
    <w:p>
      <w:pPr>
        <w:ind w:left="1660" w:right="3059" w:hanging="827"/>
        <w:spacing w:after="0" w:line="234" w:lineRule="auto"/>
        <w:tabs>
          <w:tab w:leader="none" w:pos="1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Stockholders of a reorganization, merger or consolidation in which:</w:t>
      </w:r>
    </w:p>
    <w:p>
      <w:pPr>
        <w:spacing w:after="0" w:line="183" w:lineRule="exact"/>
        <w:rPr>
          <w:rFonts w:ascii="Courier New" w:cs="Courier New" w:eastAsia="Courier New" w:hAnsi="Courier New"/>
          <w:sz w:val="16"/>
          <w:szCs w:val="16"/>
          <w:color w:val="auto"/>
        </w:rPr>
      </w:pPr>
    </w:p>
    <w:p>
      <w:pPr>
        <w:ind w:left="2500" w:right="3059" w:hanging="830"/>
        <w:spacing w:after="0" w:line="234" w:lineRule="auto"/>
        <w:tabs>
          <w:tab w:leader="none" w:pos="25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Stockholders would own 65% or less of the voting securities of the surviving entity;</w:t>
      </w:r>
    </w:p>
    <w:p>
      <w:pPr>
        <w:spacing w:after="0" w:line="183" w:lineRule="exact"/>
        <w:rPr>
          <w:rFonts w:ascii="Courier New" w:cs="Courier New" w:eastAsia="Courier New" w:hAnsi="Courier New"/>
          <w:sz w:val="16"/>
          <w:szCs w:val="16"/>
          <w:color w:val="auto"/>
        </w:rPr>
      </w:pPr>
    </w:p>
    <w:p>
      <w:pPr>
        <w:ind w:left="2500" w:right="2779" w:hanging="830"/>
        <w:spacing w:after="0" w:line="235" w:lineRule="auto"/>
        <w:tabs>
          <w:tab w:leader="none" w:pos="25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specified exempt persons, would own 35% or more of the voting securities of the surviving entity;</w:t>
      </w:r>
    </w:p>
    <w:p>
      <w:pPr>
        <w:spacing w:after="0" w:line="183" w:lineRule="exact"/>
        <w:rPr>
          <w:rFonts w:ascii="Courier New" w:cs="Courier New" w:eastAsia="Courier New" w:hAnsi="Courier New"/>
          <w:sz w:val="16"/>
          <w:szCs w:val="16"/>
          <w:color w:val="auto"/>
        </w:rPr>
      </w:pPr>
    </w:p>
    <w:p>
      <w:pPr>
        <w:ind w:left="2500" w:right="2779" w:hanging="830"/>
        <w:spacing w:after="0" w:line="235" w:lineRule="auto"/>
        <w:tabs>
          <w:tab w:leader="none" w:pos="25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a majority of the board of the surviving entity would consist of the then incumbent members of the Board of Directors; or</w:t>
      </w:r>
    </w:p>
    <w:p>
      <w:pPr>
        <w:spacing w:after="0" w:line="183" w:lineRule="exact"/>
        <w:rPr>
          <w:rFonts w:ascii="Courier New" w:cs="Courier New" w:eastAsia="Courier New" w:hAnsi="Courier New"/>
          <w:sz w:val="16"/>
          <w:szCs w:val="16"/>
          <w:color w:val="auto"/>
        </w:rPr>
      </w:pPr>
    </w:p>
    <w:p>
      <w:pPr>
        <w:ind w:left="1660" w:right="2779" w:hanging="827"/>
        <w:spacing w:after="0" w:line="235" w:lineRule="auto"/>
        <w:tabs>
          <w:tab w:leader="none" w:pos="1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Stockholders of a liquidation or dissolution of LII, unless such liquidation or dissolution involves a sale to a company of which following such transaction:</w:t>
      </w:r>
    </w:p>
    <w:p>
      <w:pPr>
        <w:spacing w:after="0" w:line="183" w:lineRule="exact"/>
        <w:rPr>
          <w:rFonts w:ascii="Courier New" w:cs="Courier New" w:eastAsia="Courier New" w:hAnsi="Courier New"/>
          <w:sz w:val="16"/>
          <w:szCs w:val="16"/>
          <w:color w:val="auto"/>
        </w:rPr>
      </w:pPr>
    </w:p>
    <w:p>
      <w:pPr>
        <w:ind w:left="2500" w:right="3239" w:hanging="830"/>
        <w:spacing w:after="0" w:line="295" w:lineRule="auto"/>
        <w:tabs>
          <w:tab w:leader="none" w:pos="25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65% of the voting securities of such company would be owned by existing Stockholders;</w:t>
      </w:r>
    </w:p>
    <w:p>
      <w:pPr>
        <w:spacing w:after="0" w:line="146" w:lineRule="exact"/>
        <w:rPr>
          <w:rFonts w:ascii="Courier New" w:cs="Courier New" w:eastAsia="Courier New" w:hAnsi="Courier New"/>
          <w:sz w:val="14"/>
          <w:szCs w:val="14"/>
          <w:color w:val="auto"/>
        </w:rPr>
      </w:pPr>
    </w:p>
    <w:p>
      <w:pPr>
        <w:ind w:left="2500" w:right="2779" w:hanging="830"/>
        <w:spacing w:after="0" w:line="235" w:lineRule="auto"/>
        <w:tabs>
          <w:tab w:leader="none" w:pos="25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other than specified exempt persons, would own 35% or more of the voting securities of such company; and</w:t>
      </w:r>
    </w:p>
    <w:p>
      <w:pPr>
        <w:sectPr>
          <w:pgSz w:w="11900" w:h="16838" w:orient="portrait"/>
          <w:cols w:equalWidth="0" w:num="1">
            <w:col w:w="10219"/>
          </w:cols>
          <w:pgMar w:left="240" w:top="654" w:right="1440" w:bottom="1440" w:gutter="0" w:footer="0" w:header="0"/>
        </w:sectPr>
      </w:pPr>
    </w:p>
    <w:bookmarkStart w:id="163" w:name="page164"/>
    <w:bookmarkEnd w:id="163"/>
    <w:p>
      <w:pPr>
        <w:ind w:left="2500" w:right="2779" w:hanging="830"/>
        <w:spacing w:after="0" w:line="235" w:lineRule="auto"/>
        <w:tabs>
          <w:tab w:leader="none" w:pos="250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a majority of the board of directors of such company would consist of the then incumbent members of the Board of Directors.</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A "potential change of control" generally includes any of the following:</w:t>
      </w:r>
    </w:p>
    <w:p>
      <w:pPr>
        <w:spacing w:after="0" w:line="199" w:lineRule="exact"/>
        <w:rPr>
          <w:sz w:val="20"/>
          <w:szCs w:val="20"/>
          <w:color w:val="auto"/>
        </w:rPr>
      </w:pPr>
    </w:p>
    <w:p>
      <w:pPr>
        <w:ind w:left="1660" w:right="3059" w:hanging="827"/>
        <w:spacing w:after="0" w:line="295" w:lineRule="auto"/>
        <w:tabs>
          <w:tab w:leader="none" w:pos="16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commencement of a tender or exchange offer for voting stock that, if consummated, would result in a change of control;</w:t>
      </w:r>
    </w:p>
    <w:p>
      <w:pPr>
        <w:spacing w:after="0" w:line="146" w:lineRule="exact"/>
        <w:rPr>
          <w:rFonts w:ascii="Courier New" w:cs="Courier New" w:eastAsia="Courier New" w:hAnsi="Courier New"/>
          <w:sz w:val="14"/>
          <w:szCs w:val="14"/>
          <w:color w:val="auto"/>
        </w:rPr>
      </w:pPr>
    </w:p>
    <w:p>
      <w:pPr>
        <w:ind w:left="1660" w:right="3059" w:hanging="827"/>
        <w:spacing w:after="0" w:line="234" w:lineRule="auto"/>
        <w:tabs>
          <w:tab w:leader="none" w:pos="16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LII entering into an agreement which, if consummated, would constitute a change of control;</w:t>
      </w:r>
    </w:p>
    <w:p>
      <w:pPr>
        <w:spacing w:after="0" w:line="183" w:lineRule="exact"/>
        <w:rPr>
          <w:rFonts w:ascii="Courier New" w:cs="Courier New" w:eastAsia="Courier New" w:hAnsi="Courier New"/>
          <w:sz w:val="16"/>
          <w:szCs w:val="16"/>
          <w:color w:val="auto"/>
        </w:rPr>
      </w:pPr>
    </w:p>
    <w:p>
      <w:pPr>
        <w:ind w:left="1660" w:right="2879" w:hanging="827"/>
        <w:spacing w:after="0" w:line="234" w:lineRule="auto"/>
        <w:tabs>
          <w:tab w:leader="none" w:pos="16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of a contested election contest subject to proxy rules; or</w:t>
      </w:r>
    </w:p>
    <w:p>
      <w:pPr>
        <w:spacing w:after="0" w:line="183" w:lineRule="exact"/>
        <w:rPr>
          <w:rFonts w:ascii="Courier New" w:cs="Courier New" w:eastAsia="Courier New" w:hAnsi="Courier New"/>
          <w:sz w:val="16"/>
          <w:szCs w:val="16"/>
          <w:color w:val="auto"/>
        </w:rPr>
      </w:pPr>
    </w:p>
    <w:p>
      <w:pPr>
        <w:ind w:left="1660" w:right="3239" w:hanging="827"/>
        <w:spacing w:after="0" w:line="295" w:lineRule="auto"/>
        <w:tabs>
          <w:tab w:leader="none" w:pos="16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occurrence of any other event that the Board of Directors determines could result in a change of control.</w:t>
      </w:r>
    </w:p>
    <w:p>
      <w:pPr>
        <w:spacing w:after="0" w:line="147"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During the term of the change of control agreement, a named executive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LII's employees.</w:t>
      </w:r>
    </w:p>
    <w:p>
      <w:pPr>
        <w:spacing w:after="0" w:line="184" w:lineRule="exact"/>
        <w:rPr>
          <w:sz w:val="20"/>
          <w:szCs w:val="20"/>
          <w:color w:val="auto"/>
        </w:rPr>
      </w:pPr>
    </w:p>
    <w:p>
      <w:pPr>
        <w:ind w:right="2879" w:firstLine="558"/>
        <w:spacing w:after="0" w:line="235" w:lineRule="auto"/>
        <w:rPr>
          <w:sz w:val="20"/>
          <w:szCs w:val="20"/>
          <w:color w:val="auto"/>
        </w:rPr>
      </w:pPr>
      <w:r>
        <w:rPr>
          <w:rFonts w:ascii="Courier New" w:cs="Courier New" w:eastAsia="Courier New" w:hAnsi="Courier New"/>
          <w:sz w:val="16"/>
          <w:szCs w:val="16"/>
          <w:color w:val="auto"/>
        </w:rPr>
        <w:t>If a named executive officer terminates employment during the term of the change of control agreement for good reason or for any reason during a window period (the 90-day period commencing 366 days after any change of control), LII will pay such officer:</w:t>
      </w:r>
    </w:p>
    <w:p>
      <w:pPr>
        <w:spacing w:after="0" w:line="185" w:lineRule="exact"/>
        <w:rPr>
          <w:sz w:val="20"/>
          <w:szCs w:val="20"/>
          <w:color w:val="auto"/>
        </w:rPr>
      </w:pPr>
    </w:p>
    <w:p>
      <w:pPr>
        <w:ind w:left="1120" w:right="2879" w:hanging="566"/>
        <w:spacing w:after="0" w:line="283"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or her then unpaid current salary and a pro rata portion of the highest bonus earned during the preceding three years, as well as previously deferred compensation and accrued vacation time;</w:t>
      </w:r>
    </w:p>
    <w:p>
      <w:pPr>
        <w:spacing w:after="0" w:line="154" w:lineRule="exact"/>
        <w:rPr>
          <w:rFonts w:ascii="Courier New" w:cs="Courier New" w:eastAsia="Courier New" w:hAnsi="Courier New"/>
          <w:sz w:val="14"/>
          <w:szCs w:val="14"/>
          <w:color w:val="auto"/>
        </w:rPr>
      </w:pPr>
    </w:p>
    <w:p>
      <w:pPr>
        <w:ind w:left="1120" w:right="3239" w:hanging="566"/>
        <w:spacing w:after="0" w:line="235" w:lineRule="auto"/>
        <w:tabs>
          <w:tab w:leader="none" w:pos="11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lump-sum cash payment equal to the sum of three times the officer's annual base salary and three times the highest annual bonus paid or awarded to the officer during the preceding three fiscal years;</w:t>
      </w:r>
    </w:p>
    <w:p>
      <w:pPr>
        <w:spacing w:after="0" w:line="184" w:lineRule="exact"/>
        <w:rPr>
          <w:rFonts w:ascii="Courier New" w:cs="Courier New" w:eastAsia="Courier New" w:hAnsi="Courier New"/>
          <w:sz w:val="16"/>
          <w:szCs w:val="16"/>
          <w:color w:val="auto"/>
        </w:rPr>
      </w:pPr>
    </w:p>
    <w:p>
      <w:pPr>
        <w:ind w:left="1120" w:right="3059" w:hanging="566"/>
        <w:spacing w:after="0" w:line="279" w:lineRule="auto"/>
        <w:tabs>
          <w:tab w:leader="none" w:pos="11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lump-sum cash payment equal to the sum of three times the officer's annual base salary and three times the highest annual bonus paid or awarded during the preceding three fiscal years, to reflect the equity component of the officer's compensation;</w:t>
      </w:r>
    </w:p>
    <w:p>
      <w:pPr>
        <w:spacing w:after="0" w:line="156" w:lineRule="exact"/>
        <w:rPr>
          <w:rFonts w:ascii="Courier New" w:cs="Courier New" w:eastAsia="Courier New" w:hAnsi="Courier New"/>
          <w:sz w:val="14"/>
          <w:szCs w:val="14"/>
          <w:color w:val="auto"/>
        </w:rPr>
      </w:pPr>
    </w:p>
    <w:p>
      <w:pPr>
        <w:ind w:left="1120" w:right="2779" w:hanging="566"/>
        <w:spacing w:after="0" w:line="236" w:lineRule="auto"/>
        <w:tabs>
          <w:tab w:leader="none" w:pos="11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lump-sum cash payment equal to the sum of 15% of the officer's annual base salary, in lieu of outplacement services, and three times 15% of the annual base salary that would have been paid or awarded to the officer during the fiscal year that includes the date of termination, for the perquisites component of the officer's compensation;</w:t>
      </w:r>
    </w:p>
    <w:p>
      <w:pPr>
        <w:spacing w:after="0" w:line="182" w:lineRule="exact"/>
        <w:rPr>
          <w:rFonts w:ascii="Courier New" w:cs="Courier New" w:eastAsia="Courier New" w:hAnsi="Courier New"/>
          <w:sz w:val="16"/>
          <w:szCs w:val="16"/>
          <w:color w:val="auto"/>
        </w:rPr>
      </w:pPr>
    </w:p>
    <w:p>
      <w:pPr>
        <w:ind w:left="1120" w:right="2879" w:hanging="566"/>
        <w:spacing w:after="0" w:line="235" w:lineRule="auto"/>
        <w:tabs>
          <w:tab w:leader="none" w:pos="11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LII's supplemental retirement plan and LII's profit sharing restoration plan, three additional years added to each of the service and age criteria; and</w:t>
      </w:r>
    </w:p>
    <w:p>
      <w:pPr>
        <w:spacing w:after="0" w:line="183" w:lineRule="exact"/>
        <w:rPr>
          <w:rFonts w:ascii="Courier New" w:cs="Courier New" w:eastAsia="Courier New" w:hAnsi="Courier New"/>
          <w:sz w:val="16"/>
          <w:szCs w:val="16"/>
          <w:color w:val="auto"/>
        </w:rPr>
      </w:pPr>
    </w:p>
    <w:p>
      <w:pPr>
        <w:ind w:left="1120" w:right="2959" w:hanging="566"/>
        <w:spacing w:after="0" w:line="234" w:lineRule="auto"/>
        <w:tabs>
          <w:tab w:leader="none" w:pos="11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coverage under LII's employee welfare benefits plans for up to four and one-half years after termination.</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In addition, all options, restricted stock and other compensatory awards held by the named executive officer will immediately vest and become exercisable, and the term of these awards will be extended for up to three years following termination of employment. The named executive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ectPr>
          <w:pgSz w:w="11900" w:h="16838" w:orient="portrait"/>
          <w:cols w:equalWidth="0" w:num="1">
            <w:col w:w="10219"/>
          </w:cols>
          <w:pgMar w:left="240" w:top="655" w:right="1440" w:bottom="1440" w:gutter="0" w:footer="0" w:header="0"/>
        </w:sectPr>
      </w:pPr>
    </w:p>
    <w:bookmarkStart w:id="164" w:name="page165"/>
    <w:bookmarkEnd w:id="164"/>
    <w:p>
      <w:pPr>
        <w:ind w:right="2779" w:firstLine="558"/>
        <w:spacing w:after="0" w:line="279" w:lineRule="auto"/>
        <w:rPr>
          <w:sz w:val="20"/>
          <w:szCs w:val="20"/>
          <w:color w:val="auto"/>
        </w:rPr>
      </w:pPr>
      <w:r>
        <w:rPr>
          <w:rFonts w:ascii="Courier New" w:cs="Courier New" w:eastAsia="Courier New" w:hAnsi="Courier New"/>
          <w:sz w:val="14"/>
          <w:szCs w:val="14"/>
          <w:color w:val="auto"/>
        </w:rPr>
        <w:t>In the event of a contest concerning a change of control agreement, unless the officer's claim is found by a court to be frivolous, LII has no right of offset, the officer is not required to mitigate damages and LII agrees to pay any legal fees incurred by the officer in connection with such contest.</w:t>
      </w:r>
    </w:p>
    <w:p>
      <w:pPr>
        <w:spacing w:after="0" w:line="157"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LII also agrees to pay all amounts owing to the officer during any period of dispute, subject only to the officer's agreement to repay any amounts to which it is determined the officer was not entitled. The change of control agreements provide for a tax gross-up in the event that specified excise taxes are applicable to payments made by LII under a change of control agreement or otherwise. The change of control agreements require the officer to maintain the confidentiality of LII's information and, for a period of 24 months following termination of employment, to avoid any attempts to induce LII's employees to terminate their employment with LII.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LII has entered into indemnification agreements with its Directors and a number of its executive officers. Each of these indemnification agreements is substantially identical except for the name of the Director or executive officer who is a party to the agreement and the date of the agreement. Under the terms of the indemnification agreements, LII has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LII has agreed to indemnify each indemnitee:</w:t>
      </w:r>
    </w:p>
    <w:p>
      <w:pPr>
        <w:spacing w:after="0" w:line="186" w:lineRule="exact"/>
        <w:rPr>
          <w:sz w:val="20"/>
          <w:szCs w:val="20"/>
          <w:color w:val="auto"/>
        </w:rPr>
      </w:pPr>
    </w:p>
    <w:p>
      <w:pPr>
        <w:ind w:left="1120" w:right="2879" w:hanging="566"/>
        <w:spacing w:after="0" w:line="274" w:lineRule="auto"/>
        <w:tabs>
          <w:tab w:leader="none" w:pos="11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LII or of any other corporation, partnership, joint venture, trust, employee benefit plan or other enterprise with which such person was serving at LII's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LII;</w:t>
      </w:r>
    </w:p>
    <w:p>
      <w:pPr>
        <w:spacing w:after="0" w:line="340" w:lineRule="exact"/>
        <w:rPr>
          <w:rFonts w:ascii="Courier New" w:cs="Courier New" w:eastAsia="Courier New" w:hAnsi="Courier New"/>
          <w:sz w:val="14"/>
          <w:szCs w:val="14"/>
          <w:color w:val="auto"/>
        </w:rPr>
      </w:pPr>
    </w:p>
    <w:p>
      <w:pPr>
        <w:ind w:left="1120" w:right="2779" w:hanging="566"/>
        <w:spacing w:after="0" w:line="236" w:lineRule="auto"/>
        <w:tabs>
          <w:tab w:leader="none" w:pos="11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person is, by reason of his or her Corporate Status, made or threatened to be made a party to any proceeding brought by or in the right of LII to procure a judgment in its favor, except that no indemnification shall be made in respect of any claim, issue or matter in such proceeding as to which such indemnitee shall have been adjudged to be liable to LII if applicable law prohibits such indemnification, unless and only to the extent that a court shall otherwise determine;</w:t>
      </w:r>
    </w:p>
    <w:p>
      <w:pPr>
        <w:spacing w:after="0" w:line="184" w:lineRule="exact"/>
        <w:rPr>
          <w:rFonts w:ascii="Courier New" w:cs="Courier New" w:eastAsia="Courier New" w:hAnsi="Courier New"/>
          <w:sz w:val="16"/>
          <w:szCs w:val="16"/>
          <w:color w:val="auto"/>
        </w:rPr>
      </w:pPr>
    </w:p>
    <w:p>
      <w:pPr>
        <w:ind w:left="1120" w:right="2779" w:hanging="566"/>
        <w:spacing w:after="0" w:line="235" w:lineRule="auto"/>
        <w:tabs>
          <w:tab w:leader="none" w:pos="11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85" w:lineRule="exact"/>
        <w:rPr>
          <w:rFonts w:ascii="Courier New" w:cs="Courier New" w:eastAsia="Courier New" w:hAnsi="Courier New"/>
          <w:sz w:val="16"/>
          <w:szCs w:val="16"/>
          <w:color w:val="auto"/>
        </w:rPr>
      </w:pPr>
    </w:p>
    <w:p>
      <w:pPr>
        <w:ind w:left="1120" w:right="2779" w:hanging="566"/>
        <w:spacing w:after="0" w:line="235" w:lineRule="auto"/>
        <w:tabs>
          <w:tab w:leader="none" w:pos="11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185" w:lineRule="exact"/>
        <w:rPr>
          <w:rFonts w:ascii="Courier New" w:cs="Courier New" w:eastAsia="Courier New" w:hAnsi="Courier New"/>
          <w:sz w:val="16"/>
          <w:szCs w:val="16"/>
          <w:color w:val="auto"/>
        </w:rPr>
      </w:pPr>
    </w:p>
    <w:p>
      <w:pPr>
        <w:ind w:left="1120" w:right="2879" w:hanging="566"/>
        <w:spacing w:after="0" w:line="235" w:lineRule="auto"/>
        <w:tabs>
          <w:tab w:leader="none" w:pos="11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expenses actually and reasonably incurred by such person in certain judicial adjudications of or awards in arbitration to enforce his or her rights under the indemnification agreements.</w:t>
      </w:r>
    </w:p>
    <w:p>
      <w:pPr>
        <w:spacing w:after="0" w:line="183"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In addition, under the terms of the indemnification agreements, LII has agreed to pay all reasonable expenses incurred by or on behalf of an indemnitee in connection with any proceeding, whether brought by or in the right of LII or otherwise, in advance of any determination with respect to entitlement to indemnification and within 15 days after the receipt by LII of a written request from such indemnitee for such payment. In the indemnification agreements, each indemnitee has agreed that he or she will reimburse and repay LII for any expenses so advanced to the extent that it shall ultimately be determined that he or she is not entitled to be indemnified by LII against such expenses.</w:t>
      </w:r>
    </w:p>
    <w:p>
      <w:pPr>
        <w:sectPr>
          <w:pgSz w:w="11900" w:h="16838" w:orient="portrait"/>
          <w:cols w:equalWidth="0" w:num="1">
            <w:col w:w="10219"/>
          </w:cols>
          <w:pgMar w:left="240" w:top="655" w:right="1440" w:bottom="1440" w:gutter="0" w:footer="0" w:header="0"/>
        </w:sectPr>
      </w:pPr>
    </w:p>
    <w:bookmarkStart w:id="165" w:name="page166"/>
    <w:bookmarkEnd w:id="165"/>
    <w:p>
      <w:pPr>
        <w:ind w:right="3059" w:firstLine="558"/>
        <w:spacing w:after="0" w:line="235" w:lineRule="auto"/>
        <w:rPr>
          <w:sz w:val="20"/>
          <w:szCs w:val="20"/>
          <w:color w:val="auto"/>
        </w:rPr>
      </w:pPr>
      <w:r>
        <w:rPr>
          <w:rFonts w:ascii="Courier New" w:cs="Courier New" w:eastAsia="Courier New" w:hAnsi="Courier New"/>
          <w:sz w:val="16"/>
          <w:szCs w:val="16"/>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LII has undergone a change of control.</w:t>
      </w:r>
    </w:p>
    <w:p>
      <w:pPr>
        <w:spacing w:after="0" w:line="18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CERTAIN RELATIONSHIPS AND RELATED PARTY TRANSACTIONS</w:t>
      </w:r>
    </w:p>
    <w:p>
      <w:pPr>
        <w:spacing w:after="0" w:line="183" w:lineRule="exact"/>
        <w:rPr>
          <w:sz w:val="20"/>
          <w:szCs w:val="20"/>
          <w:color w:val="auto"/>
        </w:rPr>
      </w:pPr>
    </w:p>
    <w:p>
      <w:pPr>
        <w:ind w:right="2779" w:firstLine="558"/>
        <w:spacing w:after="0" w:line="272" w:lineRule="auto"/>
        <w:rPr>
          <w:sz w:val="20"/>
          <w:szCs w:val="20"/>
          <w:color w:val="auto"/>
        </w:rPr>
      </w:pPr>
      <w:r>
        <w:rPr>
          <w:rFonts w:ascii="Courier New" w:cs="Courier New" w:eastAsia="Courier New" w:hAnsi="Courier New"/>
          <w:sz w:val="14"/>
          <w:szCs w:val="14"/>
          <w:color w:val="auto"/>
        </w:rPr>
        <w:t>John W. Norris, Jr., LII's Chairman of the Board, Stephen R. Booth, Thomas W. Booth, David V. Brown and John W. Norris III, each a Director of LII, as well as other LII Stockholders who may be immediate family members of the foregoing persons, are, individually or through trust arrangements, members of AOC Land Investment, L.L.C. AOC Land Investment, L.L.C. owns 70% of AOC Development II, L.L.C., which owns substantially all of One Lake Park, L.L.C. LII is leasing part of an office building owned by One Lake Park, L.L.C. for use as the LII corporate headquarters. The lease, initiated in 1999, has a term of 25 years and the lease payments for 2003 totaled approximately $2.9 million. LII also leased a portion of Lennox Center, a retail complex owned by AOC Development, L.L.C., for use as offices. The Lennox Center lease had a term of three years, which terminated in March 2003. The lease payments for 2003 totaled approximately $20,430. AOC Land Investment, L.L.C. also owns 70% of AOC Development, L.L.C. LII believes that the terms of its leases with One Lake Park, L.L.C. and AOC Development, L.L.C. are comparable to terms that could be obtained from unaffiliated third parties.</w:t>
      </w:r>
    </w:p>
    <w:p>
      <w:pPr>
        <w:spacing w:after="0" w:line="200" w:lineRule="exact"/>
        <w:rPr>
          <w:sz w:val="20"/>
          <w:szCs w:val="20"/>
          <w:color w:val="auto"/>
        </w:rPr>
      </w:pPr>
    </w:p>
    <w:p>
      <w:pPr>
        <w:spacing w:after="0" w:line="325"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These transactions were not the result of arms-length negotiations. Accordingly, certain of the terms of these transactions may be more or less favorable to LII than might have been obtained from unaffiliated third parties. LII does not intend to enter into any future transactions in which its Directors, executive officers or principal Stockholders and their affiliates have a material interest unless such transactions are approved by a majority of the disinterested members of its Board of Directors and are on terms that are no less favorable to it than those that it could obtain from unaffiliated third parties.</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During the fiscal year 2003, the Compensation Committee was composed of Richard L. Thompson, Janet K. Cooper, James J. Byrne and John E. Major. No member of the Compensation Committee was an officer or employee of LII or any of its subsidiaries. None of the LII executive officers served on the board of directors or on the compensation committee of any other entity, for which any officers of such other entity served either on our Board or on our Compensation Committee. For information on insider participation, see "Certain Relationships and Related Party Transactions."</w:t>
      </w:r>
    </w:p>
    <w:p>
      <w:pPr>
        <w:sectPr>
          <w:pgSz w:w="11900" w:h="16838" w:orient="portrait"/>
          <w:cols w:equalWidth="0" w:num="1">
            <w:col w:w="10219"/>
          </w:cols>
          <w:pgMar w:left="240" w:top="655" w:right="1440" w:bottom="1440" w:gutter="0" w:footer="0" w:header="0"/>
        </w:sectPr>
      </w:pPr>
    </w:p>
    <w:bookmarkStart w:id="166" w:name="page167"/>
    <w:bookmarkEnd w:id="166"/>
    <w:p>
      <w:pPr>
        <w:ind w:left="6320"/>
        <w:spacing w:after="0"/>
        <w:rPr>
          <w:sz w:val="20"/>
          <w:szCs w:val="20"/>
          <w:color w:val="auto"/>
        </w:rPr>
      </w:pPr>
      <w:r>
        <w:rPr>
          <w:rFonts w:ascii="Courier New" w:cs="Courier New" w:eastAsia="Courier New" w:hAnsi="Courier New"/>
          <w:sz w:val="16"/>
          <w:szCs w:val="16"/>
          <w:color w:val="auto"/>
        </w:rPr>
        <w:t>EXHIBIT 99.3</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OWNERSHIP OF LII COMMON STOCK</w:t>
      </w:r>
    </w:p>
    <w:p>
      <w:pPr>
        <w:spacing w:after="0" w:line="183" w:lineRule="exact"/>
        <w:rPr>
          <w:sz w:val="20"/>
          <w:szCs w:val="20"/>
          <w:color w:val="auto"/>
        </w:rPr>
      </w:pPr>
    </w:p>
    <w:p>
      <w:pPr>
        <w:ind w:right="3619" w:firstLine="558"/>
        <w:spacing w:after="0" w:line="235" w:lineRule="auto"/>
        <w:rPr>
          <w:sz w:val="20"/>
          <w:szCs w:val="20"/>
          <w:color w:val="auto"/>
        </w:rPr>
      </w:pPr>
      <w:r>
        <w:rPr>
          <w:rFonts w:ascii="Courier New" w:cs="Courier New" w:eastAsia="Courier New" w:hAnsi="Courier New"/>
          <w:sz w:val="16"/>
          <w:szCs w:val="16"/>
          <w:color w:val="auto"/>
        </w:rPr>
        <w:t>The following table contains information regarding the beneficial ownership of LII common stock as of September 3, 2004 by the following individuals:</w:t>
      </w:r>
    </w:p>
    <w:p>
      <w:pPr>
        <w:spacing w:after="0" w:line="183" w:lineRule="exact"/>
        <w:rPr>
          <w:sz w:val="20"/>
          <w:szCs w:val="20"/>
          <w:color w:val="auto"/>
        </w:rPr>
      </w:pPr>
    </w:p>
    <w:p>
      <w:pPr>
        <w:ind w:left="1120" w:right="3239" w:hanging="566"/>
        <w:spacing w:after="0" w:line="234" w:lineRule="auto"/>
        <w:tabs>
          <w:tab w:leader="none" w:pos="11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known by LII to own more than 5% of the outstanding shares of LII common stock;</w:t>
      </w:r>
    </w:p>
    <w:p>
      <w:pPr>
        <w:spacing w:after="0" w:line="177" w:lineRule="exact"/>
        <w:rPr>
          <w:rFonts w:ascii="Courier New" w:cs="Courier New" w:eastAsia="Courier New" w:hAnsi="Courier New"/>
          <w:sz w:val="16"/>
          <w:szCs w:val="16"/>
          <w:color w:val="auto"/>
        </w:rPr>
      </w:pPr>
    </w:p>
    <w:p>
      <w:pPr>
        <w:ind w:left="1120" w:hanging="566"/>
        <w:spacing w:after="0"/>
        <w:tabs>
          <w:tab w:leader="none" w:pos="11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LII's Directors;</w:t>
      </w:r>
    </w:p>
    <w:p>
      <w:pPr>
        <w:spacing w:after="0" w:line="176" w:lineRule="exact"/>
        <w:rPr>
          <w:rFonts w:ascii="Courier New" w:cs="Courier New" w:eastAsia="Courier New" w:hAnsi="Courier New"/>
          <w:sz w:val="16"/>
          <w:szCs w:val="16"/>
          <w:color w:val="auto"/>
        </w:rPr>
      </w:pPr>
    </w:p>
    <w:p>
      <w:pPr>
        <w:ind w:left="1120" w:hanging="566"/>
        <w:spacing w:after="0"/>
        <w:tabs>
          <w:tab w:leader="none" w:pos="11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named executive officer of LII; and</w:t>
      </w:r>
    </w:p>
    <w:p>
      <w:pPr>
        <w:spacing w:after="0" w:line="176" w:lineRule="exact"/>
        <w:rPr>
          <w:rFonts w:ascii="Courier New" w:cs="Courier New" w:eastAsia="Courier New" w:hAnsi="Courier New"/>
          <w:sz w:val="16"/>
          <w:szCs w:val="16"/>
          <w:color w:val="auto"/>
        </w:rPr>
      </w:pPr>
    </w:p>
    <w:p>
      <w:pPr>
        <w:ind w:left="1120" w:hanging="566"/>
        <w:spacing w:after="0"/>
        <w:tabs>
          <w:tab w:leader="none" w:pos="11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executive officers and Directors of LII as a group.</w:t>
      </w:r>
    </w:p>
    <w:p>
      <w:pPr>
        <w:spacing w:after="0" w:line="183" w:lineRule="exact"/>
        <w:rPr>
          <w:sz w:val="20"/>
          <w:szCs w:val="20"/>
          <w:color w:val="auto"/>
        </w:rPr>
      </w:pPr>
    </w:p>
    <w:p>
      <w:pPr>
        <w:ind w:right="2879" w:firstLine="558"/>
        <w:spacing w:after="0" w:line="295" w:lineRule="auto"/>
        <w:rPr>
          <w:sz w:val="20"/>
          <w:szCs w:val="20"/>
          <w:color w:val="auto"/>
        </w:rPr>
      </w:pPr>
      <w:r>
        <w:rPr>
          <w:rFonts w:ascii="Courier New" w:cs="Courier New" w:eastAsia="Courier New" w:hAnsi="Courier New"/>
          <w:sz w:val="14"/>
          <w:szCs w:val="14"/>
          <w:color w:val="auto"/>
        </w:rPr>
        <w:t>All persons listed have an address in care of LII's principal executive offices which are located at 2140 Lake Park Boulevard, Richardson, Texas 75080.</w:t>
      </w:r>
    </w:p>
    <w:p>
      <w:pPr>
        <w:spacing w:after="0" w:line="147"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The information contained in this table reflects "beneficial ownership" as defined in Rule 13d-3 of the Securities Exchange Act of 1934. In computing the number of shares beneficially owned by a person and the percentage ownership of that person, shares of LII common stock subject to options held by that person that were exercisable on September 3, 2004 or would be exercisable within 60 days following September 3, 2004 are considered outstanding. However, such shares are not considered outstanding for the purpose of computing the percentage ownership of any other person. To our knowledge and unless otherwise indicated, each Stockholder has sole voting and investment power over the shares listed as beneficially owned by such Stockholder, subject to community property laws where applicable. Percentage of ownership is based on 60,164,165 shares of common stock outstanding as of September 3, 2004.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7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SHARES BENEFICIALLY OWNED</w:t>
            </w:r>
          </w:p>
        </w:tc>
      </w:tr>
      <w:tr>
        <w:trPr>
          <w:trHeight w:val="179"/>
        </w:trPr>
        <w:tc>
          <w:tcPr>
            <w:tcW w:w="11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7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120" w:type="dxa"/>
            <w:vAlign w:val="bottom"/>
          </w:tcPr>
          <w:p>
            <w:pPr>
              <w:spacing w:after="0"/>
              <w:rPr>
                <w:sz w:val="15"/>
                <w:szCs w:val="15"/>
                <w:color w:val="auto"/>
              </w:rPr>
            </w:pPr>
          </w:p>
        </w:tc>
        <w:tc>
          <w:tcPr>
            <w:tcW w:w="41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BENEFICIAL OWNER</w:t>
            </w:r>
          </w:p>
        </w:tc>
        <w:tc>
          <w:tcPr>
            <w:tcW w:w="15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NUMBER</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PERCENTAGE</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60" w:type="dxa"/>
            <w:vAlign w:val="bottom"/>
            <w:gridSpan w:val="2"/>
          </w:tcPr>
          <w:p>
            <w:pPr>
              <w:spacing w:after="0"/>
              <w:rPr>
                <w:sz w:val="20"/>
                <w:szCs w:val="20"/>
                <w:color w:val="auto"/>
              </w:rPr>
            </w:pPr>
            <w:r>
              <w:rPr>
                <w:rFonts w:ascii="Courier New" w:cs="Courier New" w:eastAsia="Courier New" w:hAnsi="Courier New"/>
                <w:sz w:val="16"/>
                <w:szCs w:val="16"/>
                <w:color w:val="auto"/>
              </w:rPr>
              <w:t>John W. Norris, Jr.(1)(2).............................</w:t>
            </w:r>
          </w:p>
        </w:tc>
        <w:tc>
          <w:tcPr>
            <w:tcW w:w="15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4,706,117</w:t>
            </w: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7.73</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Robert E. Schjerven(2)................................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1,297,499</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2.13</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Linda G. Alvarado(2)(3)...............................</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176,431</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Harry J. Ashenhurst, Ph.D.(2).........................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501,318</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Steven R. Booth(2)(4).................................</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2,885,202</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4.79</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Thomas W. Booth(2)(5).................................</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2,953,644</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4.91</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Scott J. Boxer(2).....................................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464,624</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David V. Brown(2).....................................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1,466,233</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2.43</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James J. Byrne(2).....................................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137,154</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Janet K. Cooper(2)....................................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54,443</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Carl E. Edwards, Jr.(2)...............................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369,495</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C. L. (Jerry) Henry(2)................................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37,236</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John E. Major(2)......................................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194,931</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Robert J. McDonough(2)................................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391,458</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John W. Norris III(2)(6)..............................</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2,985,738</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4.96</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Walden W. O'Dell......................................</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781</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Terry D. Stinson(2)...................................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58,746</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Richard L. Thompson(2)................................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157,952</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All executive officers and Directors as a group</w:t>
            </w:r>
          </w:p>
        </w:tc>
        <w:tc>
          <w:tcPr>
            <w:tcW w:w="1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2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(23 persons)(2).....................................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14,735,612</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23.23</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David H. Anderson(2)..................................</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3,290,784</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5.46</w:t>
            </w:r>
          </w:p>
        </w:tc>
      </w:tr>
      <w:tr>
        <w:trPr>
          <w:trHeight w:val="179"/>
        </w:trPr>
        <w:tc>
          <w:tcPr>
            <w:tcW w:w="52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Barclays Global Investors NA/CA/(7)...................</w:t>
            </w: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4,483,377</w:t>
            </w: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7.45</w:t>
            </w:r>
          </w:p>
        </w:tc>
      </w:tr>
      <w:tr>
        <w:trPr>
          <w:trHeight w:val="537"/>
        </w:trPr>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 ----------</w:t>
            </w:r>
          </w:p>
        </w:tc>
        <w:tc>
          <w:tcPr>
            <w:tcW w:w="4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112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4140" w:type="dxa"/>
            <w:vAlign w:val="bottom"/>
          </w:tcPr>
          <w:p>
            <w:pPr>
              <w:spacing w:after="0"/>
              <w:rPr>
                <w:sz w:val="20"/>
                <w:szCs w:val="20"/>
                <w:color w:val="auto"/>
              </w:rPr>
            </w:pPr>
            <w:r>
              <w:rPr>
                <w:rFonts w:ascii="Courier New" w:cs="Courier New" w:eastAsia="Courier New" w:hAnsi="Courier New"/>
                <w:sz w:val="16"/>
                <w:szCs w:val="16"/>
                <w:color w:val="auto"/>
              </w:rPr>
              <w:t>Less than 1%</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93" w:right="1440" w:bottom="1440" w:gutter="0" w:footer="0" w:header="0"/>
        </w:sectPr>
      </w:pPr>
    </w:p>
    <w:bookmarkStart w:id="167" w:name="page168"/>
    <w:bookmarkEnd w:id="167"/>
    <w:p>
      <w:pPr>
        <w:ind w:left="565" w:right="2779" w:hanging="565"/>
        <w:spacing w:after="0" w:line="235"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321,750 shares held by the Robert W. Norris Trust A, 321,750 shares held by the John W. Norris, Jr. Trust A., and 663,135 shares held by the Megan E. Norris Trust A., each of which Mr. Norris is a co-trustee; and (b) 2,658,661 shares held by the Norris Family Limited Partnership, of which Mr. Norris is General Partner.</w:t>
      </w:r>
    </w:p>
    <w:p>
      <w:pPr>
        <w:spacing w:after="0" w:line="185" w:lineRule="exact"/>
        <w:rPr>
          <w:rFonts w:ascii="Courier New" w:cs="Courier New" w:eastAsia="Courier New" w:hAnsi="Courier New"/>
          <w:sz w:val="16"/>
          <w:szCs w:val="16"/>
          <w:color w:val="auto"/>
        </w:rPr>
      </w:pPr>
    </w:p>
    <w:p>
      <w:pPr>
        <w:ind w:left="565" w:right="2779" w:hanging="565"/>
        <w:spacing w:after="0" w:line="236"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shares subject to options: Mr. Norris, Jr. - 740,821; Mr. Schjerven - 666,545; Ms. Alvarado - 167,065; Dr. Ashenhurst - 252,823; Mr. S. Booth - 11,727; Mr. T. Booth - 38,205; Mr. Boxer - 206,691; Mr. Brown - 167,065; Mr. Byrne - 67,784; Ms. Cooper - 40,015; Mr. Edwards - 102,821; Mr. Henry - 26,858; Mr. Major - 167,065; Mr. McDonough - 209,890; Mr. Norris III - 11,727; Mr. Stinson - 40,015; Mr. Thompson - 82,915; all executive officers and Directors as a group - 3,275,542; and Mr. Anderson - 152,065.</w:t>
      </w:r>
    </w:p>
    <w:p>
      <w:pPr>
        <w:spacing w:after="0" w:line="178"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8,174 shares held by Cimarron Holdings, LLC.</w:t>
      </w:r>
    </w:p>
    <w:p>
      <w:pPr>
        <w:spacing w:after="0" w:line="182" w:lineRule="exact"/>
        <w:rPr>
          <w:rFonts w:ascii="Courier New" w:cs="Courier New" w:eastAsia="Courier New" w:hAnsi="Courier New"/>
          <w:sz w:val="16"/>
          <w:szCs w:val="16"/>
          <w:color w:val="auto"/>
        </w:rPr>
      </w:pPr>
    </w:p>
    <w:p>
      <w:pPr>
        <w:ind w:left="565" w:right="2879" w:hanging="565"/>
        <w:spacing w:after="0" w:line="235"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1,995,206 shares held by trusts for the benefit of Mr. Richard W. Booth, 642,741 shares held by the Steven R. Booth Trust, and 136,502 shares held by The Booth Family Charitable Lead Annuity Trust, each of which Mr. S. Booth is a co-trustee, and (b) 83,446 shares held by Mr. S. Booth's children.</w:t>
      </w:r>
    </w:p>
    <w:p>
      <w:pPr>
        <w:spacing w:after="0" w:line="185" w:lineRule="exact"/>
        <w:rPr>
          <w:rFonts w:ascii="Courier New" w:cs="Courier New" w:eastAsia="Courier New" w:hAnsi="Courier New"/>
          <w:sz w:val="16"/>
          <w:szCs w:val="16"/>
          <w:color w:val="auto"/>
        </w:rPr>
      </w:pPr>
    </w:p>
    <w:p>
      <w:pPr>
        <w:ind w:left="565" w:right="2879" w:hanging="565"/>
        <w:spacing w:after="0" w:line="235"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1,995,206 shares held by trusts for the benefit of Mr. Richard W. Booth, 40,062 shares held by the Thomas W. Booth Trust, and 136,502 shares held by The Booth Family Charitable Lead Annuity Trust, each of which Mr. T. Booth is a co-trustee, and (b) 76,051 shares held by Mr. T. Booth's children.</w:t>
      </w:r>
    </w:p>
    <w:p>
      <w:pPr>
        <w:spacing w:after="0" w:line="185" w:lineRule="exact"/>
        <w:rPr>
          <w:rFonts w:ascii="Courier New" w:cs="Courier New" w:eastAsia="Courier New" w:hAnsi="Courier New"/>
          <w:sz w:val="16"/>
          <w:szCs w:val="16"/>
          <w:color w:val="auto"/>
        </w:rPr>
      </w:pPr>
    </w:p>
    <w:p>
      <w:pPr>
        <w:ind w:left="565" w:right="2779" w:hanging="565"/>
        <w:spacing w:after="0" w:line="235" w:lineRule="auto"/>
        <w:tabs>
          <w:tab w:leader="none" w:pos="5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4,987 shares held by the W.H. Norris Trust, 4,987 shares held by the B.W. Norris Trust, and 4,063 shares held by the L.C. Norris Trust, each of which Mr. Norris is a trustee; (b) 2,658,661 shares held by the Norris Family Limited Partnership, of which Mr. Norris is a 1% beneficiary; and (c) 31,768 shares held by Mr. Norris' minor children.</w:t>
      </w:r>
    </w:p>
    <w:p>
      <w:pPr>
        <w:spacing w:after="0" w:line="185" w:lineRule="exact"/>
        <w:rPr>
          <w:rFonts w:ascii="Courier New" w:cs="Courier New" w:eastAsia="Courier New" w:hAnsi="Courier New"/>
          <w:sz w:val="16"/>
          <w:szCs w:val="16"/>
          <w:color w:val="auto"/>
        </w:rPr>
      </w:pPr>
    </w:p>
    <w:p>
      <w:pPr>
        <w:ind w:left="565" w:hanging="565"/>
        <w:spacing w:after="0"/>
        <w:tabs>
          <w:tab w:leader="none" w:pos="56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3,583,666 shares held by Barclays Global Investors, NA; and</w:t>
      </w:r>
    </w:p>
    <w:p>
      <w:pPr>
        <w:spacing w:after="0" w:line="16" w:lineRule="exact"/>
        <w:rPr>
          <w:rFonts w:ascii="Courier New" w:cs="Courier New" w:eastAsia="Courier New" w:hAnsi="Courier New"/>
          <w:sz w:val="14"/>
          <w:szCs w:val="14"/>
          <w:color w:val="auto"/>
        </w:rPr>
      </w:pPr>
    </w:p>
    <w:p>
      <w:pPr>
        <w:ind w:left="5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 899,711 shares held by Barclays Global Fund Advisors.</w:t>
      </w:r>
    </w:p>
    <w:p>
      <w:pPr>
        <w:sectPr>
          <w:pgSz w:w="11900" w:h="16838" w:orient="portrait"/>
          <w:cols w:equalWidth="0" w:num="1">
            <w:col w:w="10224"/>
          </w:cols>
          <w:pgMar w:left="235" w:top="655" w:right="1440" w:bottom="1440" w:gutter="0" w:footer="0" w:header="0"/>
        </w:sectPr>
      </w:pPr>
    </w:p>
    <w:bookmarkStart w:id="168" w:name="page169"/>
    <w:bookmarkEnd w:id="168"/>
    <w:p>
      <w:pPr>
        <w:jc w:val="right"/>
        <w:ind w:right="2779"/>
        <w:spacing w:after="0"/>
        <w:rPr>
          <w:sz w:val="20"/>
          <w:szCs w:val="20"/>
          <w:color w:val="auto"/>
        </w:rPr>
      </w:pPr>
      <w:r>
        <w:rPr>
          <w:rFonts w:ascii="Courier New" w:cs="Courier New" w:eastAsia="Courier New" w:hAnsi="Courier New"/>
          <w:sz w:val="16"/>
          <w:szCs w:val="16"/>
          <w:color w:val="auto"/>
        </w:rPr>
        <w:t>EXHIBIT 99.4</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PRINCIPAL ACCOUNTANT FEES AND SERVICES</w:t>
      </w:r>
    </w:p>
    <w:p>
      <w:pPr>
        <w:spacing w:after="0" w:line="183" w:lineRule="exact"/>
        <w:rPr>
          <w:sz w:val="20"/>
          <w:szCs w:val="20"/>
          <w:color w:val="auto"/>
        </w:rPr>
      </w:pPr>
    </w:p>
    <w:p>
      <w:pPr>
        <w:ind w:right="2879" w:firstLine="558"/>
        <w:spacing w:after="0" w:line="236" w:lineRule="auto"/>
        <w:rPr>
          <w:sz w:val="20"/>
          <w:szCs w:val="20"/>
          <w:color w:val="auto"/>
        </w:rPr>
      </w:pPr>
      <w:r>
        <w:rPr>
          <w:rFonts w:ascii="Courier New" w:cs="Courier New" w:eastAsia="Courier New" w:hAnsi="Courier New"/>
          <w:sz w:val="16"/>
          <w:szCs w:val="16"/>
          <w:color w:val="auto"/>
        </w:rPr>
        <w:t>The Audit Committee of the Board of Directors has selected KPMG LLP ("KPMG") to continue as LII's independent auditors for the fiscal year ending December 31, 2004. A representative of KPMG will be present at the Annual Meeting of Stockholders and will have the opportunity to make a statement if he or she desires to do so and is expected to be available to respond to appropriate questions.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w:t>
      </w:r>
    </w:p>
    <w:p>
      <w:pPr>
        <w:spacing w:after="0" w:line="183" w:lineRule="exact"/>
        <w:rPr>
          <w:sz w:val="20"/>
          <w:szCs w:val="20"/>
          <w:color w:val="auto"/>
        </w:rPr>
      </w:pPr>
    </w:p>
    <w:p>
      <w:pPr>
        <w:ind w:right="2779" w:firstLine="558"/>
        <w:spacing w:after="0" w:line="273" w:lineRule="auto"/>
        <w:rPr>
          <w:sz w:val="20"/>
          <w:szCs w:val="20"/>
          <w:color w:val="auto"/>
        </w:rPr>
      </w:pPr>
      <w:r>
        <w:rPr>
          <w:rFonts w:ascii="Courier New" w:cs="Courier New" w:eastAsia="Courier New" w:hAnsi="Courier New"/>
          <w:sz w:val="14"/>
          <w:szCs w:val="14"/>
          <w:color w:val="auto"/>
        </w:rPr>
        <w:t>The fees for professional services rendered for the audit of LII's annual financial statements for each of the fiscal years ended December 31, 2003 and December 31, 2002, and the reviews of the financial statements included in LII's Quarterly Reports on Form 10-Q or services that are normally provided by KPMG in connection with statutory or regulatory filings or engagement for each of those fiscal years, were $1,318,000 and $880,000, respectively. These amounts also included fees associated with comfort letters and consents related to debt and equity offerings. In addition, LII's former auditors, Arthur Andersen LLP, billed LII an aggregate of $8,000 for professional services rendered for the review of financial statements included in the LII Quarterly Report on Form 10-Q for the quarter ended March 31, 2002.</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AUDIT-RELATED FEES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Aggregate fees billed or expected to be billed by KPMG for assurance and related services reasonably related to the performance of the audit or review of LII's financial statements for each of the fiscal years ended December 31, 2003 and December 31, 2002, and not included in the audit fees listed above were $151,000 and $54,000, respectively. These services are comprised primarily of accounting consultations and other audit or attestation services not required by statute or regulation.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FEES</w:t>
      </w:r>
    </w:p>
    <w:p>
      <w:pPr>
        <w:spacing w:after="0" w:line="183" w:lineRule="exact"/>
        <w:rPr>
          <w:sz w:val="20"/>
          <w:szCs w:val="20"/>
          <w:color w:val="auto"/>
        </w:rPr>
      </w:pPr>
    </w:p>
    <w:p>
      <w:pPr>
        <w:ind w:right="2779" w:firstLine="558"/>
        <w:spacing w:after="0" w:line="279" w:lineRule="auto"/>
        <w:rPr>
          <w:sz w:val="20"/>
          <w:szCs w:val="20"/>
          <w:color w:val="auto"/>
        </w:rPr>
      </w:pPr>
      <w:r>
        <w:rPr>
          <w:rFonts w:ascii="Courier New" w:cs="Courier New" w:eastAsia="Courier New" w:hAnsi="Courier New"/>
          <w:sz w:val="14"/>
          <w:szCs w:val="14"/>
          <w:color w:val="auto"/>
        </w:rPr>
        <w:t>Aggregate fees billed or expected to be billed by KPMG for tax compliance, tax advice and tax planning for each of the fiscal years ended December 31, 2003 and December 31, 2002, were $682,000 and $171,000, respectively. These fees related to reviews of tax returns, tax consulting and tax planning.</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OTHER FEES</w:t>
      </w:r>
    </w:p>
    <w:p>
      <w:pPr>
        <w:spacing w:after="0" w:line="183"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The fees for services rendered to LII by KPMG, other than those services covered in the sections captioned "Audit Fees," "Audit-Related Fees" and "Tax Fees," for each of the fiscal years ended December 31, 2003 and December 31, 2002, were $0 and $36,000, respectively. These services were comprised primarily of miscellaneous technical assistance provided to LII.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COMMITTEE APPROVAL OF AUDIT AND NON-AUDIT SERVICES</w:t>
      </w:r>
    </w:p>
    <w:p>
      <w:pPr>
        <w:spacing w:after="0" w:line="183" w:lineRule="exact"/>
        <w:rPr>
          <w:sz w:val="20"/>
          <w:szCs w:val="20"/>
          <w:color w:val="auto"/>
        </w:rPr>
      </w:pPr>
    </w:p>
    <w:p>
      <w:pPr>
        <w:ind w:right="2779" w:firstLine="558"/>
        <w:spacing w:after="0" w:line="236" w:lineRule="auto"/>
        <w:rPr>
          <w:sz w:val="20"/>
          <w:szCs w:val="20"/>
          <w:color w:val="auto"/>
        </w:rPr>
      </w:pPr>
      <w:r>
        <w:rPr>
          <w:rFonts w:ascii="Courier New" w:cs="Courier New" w:eastAsia="Courier New" w:hAnsi="Courier New"/>
          <w:sz w:val="16"/>
          <w:szCs w:val="16"/>
          <w:color w:val="auto"/>
        </w:rPr>
        <w:t>Prior to 2003, each type of non-audit service proposed to be provided by the Company's independent auditors, KPMG, was approved on an individual basis by the Audit Committee in advance of the rendering of such non-audit services. The Audit Committee, in 2003, developed an Administrative Policy and Procedure for Audit Committee Approval of Non-Audit Services Provided by the External Auditor, which sets forth certain pre-approved non-audit work that may be performed by KPMG. Specifically, the Audit Committee has pre-approved the use of KPMG for detailed, specific types of services within the following categories of non-audit services: tax advisory and tax return services, accounting consultation regarding accounting standards and internal audit consultation services. In each case, the Audit Committee has also set a specific annual limit on the amount of such services which the Company would obtain from KPMG, and has required management to report the specific engagements to the Audit Committee. All other non-audit services other than the pre-approved services set forth above and any services that exceed the annual limits set forth in the policy must be pre-approved in writing by the Audit Committee. The Chairperson of the Audit Committee is authorized by the Audit Committee to pre-approve additional KPMG audit and</w:t>
      </w:r>
    </w:p>
    <w:p>
      <w:pPr>
        <w:sectPr>
          <w:pgSz w:w="11900" w:h="16838" w:orient="portrait"/>
          <w:cols w:equalWidth="0" w:num="1">
            <w:col w:w="10219"/>
          </w:cols>
          <w:pgMar w:left="240" w:top="493" w:right="1440" w:bottom="1440" w:gutter="0" w:footer="0" w:header="0"/>
        </w:sectPr>
      </w:pPr>
    </w:p>
    <w:bookmarkStart w:id="169" w:name="page170"/>
    <w:bookmarkEnd w:id="169"/>
    <w:p>
      <w:pPr>
        <w:ind w:right="3159"/>
        <w:spacing w:after="0" w:line="235" w:lineRule="auto"/>
        <w:rPr>
          <w:sz w:val="20"/>
          <w:szCs w:val="20"/>
          <w:color w:val="auto"/>
        </w:rPr>
      </w:pPr>
      <w:r>
        <w:rPr>
          <w:rFonts w:ascii="Courier New" w:cs="Courier New" w:eastAsia="Courier New" w:hAnsi="Courier New"/>
          <w:sz w:val="16"/>
          <w:szCs w:val="16"/>
          <w:color w:val="auto"/>
        </w:rPr>
        <w:t>non-audit services between Audit Committee meetings, provided the additional services do not affect KPMG's independence under applicable Securities and Exchange Commission rules and any such pre-approval is reported to the Audit Committee at its next meeting.</w:t>
      </w:r>
    </w:p>
    <w:sectPr>
      <w:pgSz w:w="11900" w:h="16838" w:orient="portrait"/>
      <w:cols w:equalWidth="0" w:num="1">
        <w:col w:w="10219"/>
      </w:cols>
      <w:pgMar w:left="240" w:top="6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3"/>
    </w:lvl>
  </w:abstractNum>
  <w:abstractNum w:abstractNumId="9">
    <w:nsid w:val="61574095"/>
    <w:multiLevelType w:val="hybridMultilevel"/>
    <w:lvl w:ilvl="0">
      <w:lvlJc w:val="left"/>
      <w:lvlText w:val="•"/>
      <w:numFmt w:val="bullet"/>
      <w:start w:val="1"/>
    </w:lvl>
    <w:lvl w:ilvl="1">
      <w:lvlJc w:val="left"/>
      <w:lvlText w:val="•"/>
      <w:numFmt w:val="bullet"/>
      <w:start w:val="1"/>
    </w:lvl>
  </w:abstractNum>
  <w:abstractNum w:abstractNumId="10">
    <w:nsid w:val="7E0C57B1"/>
    <w:multiLevelType w:val="hybridMultilevel"/>
    <w:lvl w:ilvl="0">
      <w:lvlJc w:val="left"/>
      <w:lvlText w:val="•"/>
      <w:numFmt w:val="bullet"/>
      <w:start w:val="1"/>
    </w:lvl>
    <w:lvl w:ilvl="1">
      <w:lvlJc w:val="left"/>
      <w:lvlText w:val="•"/>
      <w:numFmt w:val="bullet"/>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2"/>
    </w:lvl>
  </w:abstractNum>
  <w:abstractNum w:abstractNumId="13">
    <w:nsid w:val="310C50B3"/>
    <w:multiLevelType w:val="hybridMultilevel"/>
    <w:lvl w:ilvl="0">
      <w:lvlJc w:val="left"/>
      <w:lvlText w:val="%1."/>
      <w:numFmt w:val="decimal"/>
      <w:start w:val="3"/>
    </w:lvl>
  </w:abstractNum>
  <w:abstractNum w:abstractNumId="14">
    <w:nsid w:val="5FF87E05"/>
    <w:multiLevelType w:val="hybridMultilevel"/>
    <w:lvl w:ilvl="0">
      <w:lvlJc w:val="left"/>
      <w:lvlText w:val="%1."/>
      <w:numFmt w:val="decimal"/>
      <w:start w:val="1"/>
    </w:lvl>
  </w:abstractNum>
  <w:abstractNum w:abstractNumId="15">
    <w:nsid w:val="2F305DEF"/>
    <w:multiLevelType w:val="hybridMultilevel"/>
    <w:lvl w:ilvl="0">
      <w:lvlJc w:val="left"/>
      <w:lvlText w:val="%1."/>
      <w:numFmt w:val="decimal"/>
      <w:start w:val="2"/>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1)"/>
      <w:numFmt w:val="decimal"/>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2"/>
    </w:lvl>
  </w:abstractNum>
  <w:abstractNum w:abstractNumId="20">
    <w:nsid w:val="1381823A"/>
    <w:multiLevelType w:val="hybridMultilevel"/>
    <w:lvl w:ilvl="0">
      <w:lvlJc w:val="left"/>
      <w:lvlText w:val="%1."/>
      <w:numFmt w:val="decimal"/>
      <w:start w:val="3"/>
    </w:lvl>
  </w:abstractNum>
  <w:abstractNum w:abstractNumId="21">
    <w:nsid w:val="5DB70AE5"/>
    <w:multiLevelType w:val="hybridMultilevel"/>
    <w:lvl w:ilvl="0">
      <w:lvlJc w:val="left"/>
      <w:lvlText w:val="•"/>
      <w:numFmt w:val="bullet"/>
      <w:start w:val="1"/>
    </w:lvl>
    <w:lvl w:ilvl="1">
      <w:lvlJc w:val="left"/>
      <w:lvlText w:val="•"/>
      <w:numFmt w:val="bullet"/>
      <w:start w:val="1"/>
    </w:lvl>
  </w:abstractNum>
  <w:abstractNum w:abstractNumId="22">
    <w:nsid w:val="100F8FCA"/>
    <w:multiLevelType w:val="hybridMultilevel"/>
    <w:lvl w:ilvl="0">
      <w:lvlJc w:val="left"/>
      <w:lvlText w:val="%1."/>
      <w:numFmt w:val="decimal"/>
      <w:start w:val="4"/>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decimal"/>
      <w:start w:val="5"/>
    </w:lvl>
  </w:abstractNum>
  <w:abstractNum w:abstractNumId="25">
    <w:nsid w:val="5F5E7FD0"/>
    <w:multiLevelType w:val="hybridMultilevel"/>
    <w:lvl w:ilvl="0">
      <w:lvlJc w:val="left"/>
      <w:lvlText w:val="%1."/>
      <w:numFmt w:val="decimal"/>
      <w:start w:val="6"/>
    </w:lvl>
  </w:abstractNum>
  <w:abstractNum w:abstractNumId="26">
    <w:nsid w:val="98A3148"/>
    <w:multiLevelType w:val="hybridMultilevel"/>
    <w:lvl w:ilvl="0">
      <w:lvlJc w:val="left"/>
      <w:lvlText w:val="%1."/>
      <w:numFmt w:val="decimal"/>
      <w:start w:val="7"/>
    </w:lvl>
  </w:abstractNum>
  <w:abstractNum w:abstractNumId="27">
    <w:nsid w:val="799D0247"/>
    <w:multiLevelType w:val="hybridMultilevel"/>
    <w:lvl w:ilvl="0">
      <w:lvlJc w:val="left"/>
      <w:lvlText w:val="%1."/>
      <w:numFmt w:val="decimal"/>
      <w:start w:val="8"/>
    </w:lvl>
  </w:abstractNum>
  <w:abstractNum w:abstractNumId="28">
    <w:nsid w:val="6B94764"/>
    <w:multiLevelType w:val="hybridMultilevel"/>
    <w:lvl w:ilvl="0">
      <w:lvlJc w:val="left"/>
      <w:lvlText w:val="%1."/>
      <w:numFmt w:val="decimal"/>
      <w:start w:val="9"/>
    </w:lvl>
  </w:abstractNum>
  <w:abstractNum w:abstractNumId="29">
    <w:nsid w:val="42C296BD"/>
    <w:multiLevelType w:val="hybridMultilevel"/>
    <w:lvl w:ilvl="0">
      <w:lvlJc w:val="left"/>
      <w:lvlText w:val="%1."/>
      <w:numFmt w:val="decimal"/>
      <w:start w:val="10"/>
    </w:lvl>
  </w:abstractNum>
  <w:abstractNum w:abstractNumId="30">
    <w:nsid w:val="168E121F"/>
    <w:multiLevelType w:val="hybridMultilevel"/>
    <w:lvl w:ilvl="0">
      <w:lvlJc w:val="left"/>
      <w:lvlText w:val="%1."/>
      <w:numFmt w:val="decimal"/>
      <w:start w:val="11"/>
    </w:lvl>
  </w:abstractNum>
  <w:abstractNum w:abstractNumId="31">
    <w:nsid w:val="1EBA5D23"/>
    <w:multiLevelType w:val="hybridMultilevel"/>
    <w:lvl w:ilvl="0">
      <w:lvlJc w:val="left"/>
      <w:lvlText w:val="%1."/>
      <w:numFmt w:val="decimal"/>
      <w:start w:val="12"/>
    </w:lvl>
  </w:abstractNum>
  <w:abstractNum w:abstractNumId="32">
    <w:nsid w:val="661E3F1E"/>
    <w:multiLevelType w:val="hybridMultilevel"/>
    <w:lvl w:ilvl="0">
      <w:lvlJc w:val="left"/>
      <w:lvlText w:val="%1."/>
      <w:numFmt w:val="decimal"/>
      <w:start w:val="14"/>
    </w:lvl>
  </w:abstractNum>
  <w:abstractNum w:abstractNumId="33">
    <w:nsid w:val="5DC79EA8"/>
    <w:multiLevelType w:val="hybridMultilevel"/>
    <w:lvl w:ilvl="0">
      <w:lvlJc w:val="left"/>
      <w:lvlText w:val="%1."/>
      <w:numFmt w:val="decimal"/>
      <w:start w:val="15"/>
    </w:lvl>
  </w:abstractNum>
  <w:abstractNum w:abstractNumId="34">
    <w:nsid w:val="540A471C"/>
    <w:multiLevelType w:val="hybridMultilevel"/>
    <w:lvl w:ilvl="0">
      <w:lvlJc w:val="left"/>
      <w:lvlText w:val="%1."/>
      <w:numFmt w:val="decimal"/>
      <w:start w:val="16"/>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2"/>
    </w:lvl>
  </w:abstractNum>
  <w:abstractNum w:abstractNumId="37">
    <w:nsid w:val="613EFDC5"/>
    <w:multiLevelType w:val="hybridMultilevel"/>
    <w:lvl w:ilvl="0">
      <w:lvlJc w:val="left"/>
      <w:lvlText w:val="%1."/>
      <w:numFmt w:val="decimal"/>
      <w:start w:val="17"/>
    </w:lvl>
  </w:abstractNum>
  <w:abstractNum w:abstractNumId="38">
    <w:nsid w:val="BF72B14"/>
    <w:multiLevelType w:val="hybridMultilevel"/>
    <w:lvl w:ilvl="0">
      <w:lvlJc w:val="left"/>
      <w:lvlText w:val="%1."/>
      <w:numFmt w:val="decimal"/>
      <w:start w:val="18"/>
    </w:lvl>
  </w:abstractNum>
  <w:abstractNum w:abstractNumId="39">
    <w:nsid w:val="11447B73"/>
    <w:multiLevelType w:val="hybridMultilevel"/>
    <w:lvl w:ilvl="0">
      <w:lvlJc w:val="left"/>
      <w:lvlText w:val="%1."/>
      <w:numFmt w:val="decimal"/>
      <w:start w:val="19"/>
    </w:lvl>
  </w:abstractNum>
  <w:abstractNum w:abstractNumId="40">
    <w:nsid w:val="42963E5A"/>
    <w:multiLevelType w:val="hybridMultilevel"/>
    <w:lvl w:ilvl="0">
      <w:lvlJc w:val="left"/>
      <w:lvlText w:val="%1."/>
      <w:numFmt w:val="decimal"/>
      <w:start w:val="20"/>
    </w:lvl>
  </w:abstractNum>
  <w:abstractNum w:abstractNumId="41">
    <w:nsid w:val="A0382C5"/>
    <w:multiLevelType w:val="hybridMultilevel"/>
    <w:lvl w:ilvl="0">
      <w:lvlJc w:val="left"/>
      <w:lvlText w:val="%1."/>
      <w:numFmt w:val="decimal"/>
      <w:start w:val="21"/>
    </w:lvl>
  </w:abstractNum>
  <w:abstractNum w:abstractNumId="42">
    <w:nsid w:val="8F2B15E"/>
    <w:multiLevelType w:val="hybridMultilevel"/>
    <w:lvl w:ilvl="0">
      <w:lvlJc w:val="left"/>
      <w:lvlText w:val="%1."/>
      <w:numFmt w:val="decimal"/>
      <w:start w:val="22"/>
    </w:lvl>
  </w:abstractNum>
  <w:abstractNum w:abstractNumId="43">
    <w:nsid w:val="1A32234B"/>
    <w:multiLevelType w:val="hybridMultilevel"/>
    <w:lvl w:ilvl="0">
      <w:lvlJc w:val="left"/>
      <w:lvlText w:val="%1."/>
      <w:numFmt w:val="decimal"/>
      <w:start w:val="23"/>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1"/>
    </w:lvl>
    <w:lvl w:ilvl="1">
      <w:lvlJc w:val="left"/>
      <w:lvlText w:val="•"/>
      <w:numFmt w:val="bullet"/>
      <w:start w:val="1"/>
    </w:lvl>
  </w:abstractNum>
  <w:abstractNum w:abstractNumId="48">
    <w:nsid w:val="6A5EE64"/>
    <w:multiLevelType w:val="hybridMultilevel"/>
    <w:lvl w:ilvl="0">
      <w:lvlJc w:val="left"/>
      <w:lvlText w:val="(%1)"/>
      <w:numFmt w:val="decimal"/>
      <w:start w:val="2"/>
    </w:lvl>
    <w:lvl w:ilvl="1">
      <w:lvlJc w:val="left"/>
      <w:lvlText w:val="(%2)"/>
      <w:numFmt w:val="lowerLetter"/>
      <w:start w:val="2"/>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1)"/>
      <w:numFmt w:val="lowerLetter"/>
      <w:start w:val="12"/>
    </w:lvl>
  </w:abstractNum>
  <w:abstractNum w:abstractNumId="54">
    <w:nsid w:val="7FB7E0AA"/>
    <w:multiLevelType w:val="hybridMultilevel"/>
    <w:lvl w:ilvl="0">
      <w:lvlJc w:val="left"/>
      <w:lvlText w:val="(%1)"/>
      <w:numFmt w:val="lowerLetter"/>
      <w:start w:val="1"/>
    </w:lvl>
    <w:lvl w:ilvl="1">
      <w:lvlJc w:val="left"/>
      <w:lvlText w:val="(%2)"/>
      <w:numFmt w:val="lowerRoman"/>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upp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2"/>
    </w:lvl>
  </w:abstractNum>
  <w:abstractNum w:abstractNumId="59">
    <w:nsid w:val="76272110"/>
    <w:multiLevelType w:val="hybridMultilevel"/>
    <w:lvl w:ilvl="0">
      <w:lvlJc w:val="left"/>
      <w:lvlText w:val="(%1)"/>
      <w:numFmt w:val="lowerLetter"/>
      <w:start w:val="3"/>
    </w:lvl>
  </w:abstractNum>
  <w:abstractNum w:abstractNumId="60">
    <w:nsid w:val="4C04A8AF"/>
    <w:multiLevelType w:val="hybridMultilevel"/>
    <w:lvl w:ilvl="0">
      <w:lvlJc w:val="left"/>
      <w:lvlText w:val="(%1)"/>
      <w:numFmt w:val="lowerLetter"/>
      <w:start w:val="1"/>
    </w:lvl>
  </w:abstractNum>
  <w:abstractNum w:abstractNumId="61">
    <w:nsid w:val="1716703B"/>
    <w:multiLevelType w:val="hybridMultilevel"/>
    <w:lvl w:ilvl="0">
      <w:lvlJc w:val="left"/>
      <w:lvlText w:val="(%1)"/>
      <w:numFmt w:val="lowerLetter"/>
      <w:start w:val="1"/>
    </w:lvl>
    <w:lvl w:ilvl="1">
      <w:lvlJc w:val="left"/>
      <w:lvlText w:val="(%2)"/>
      <w:numFmt w:val="lowerRoman"/>
      <w:start w:val="1"/>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2"/>
    </w:lvl>
  </w:abstractNum>
  <w:abstractNum w:abstractNumId="64">
    <w:nsid w:val="74DE0EE3"/>
    <w:multiLevelType w:val="hybridMultilevel"/>
    <w:lvl w:ilvl="0">
      <w:lvlJc w:val="left"/>
      <w:lvlText w:val="(%1)"/>
      <w:numFmt w:val="lowerLetter"/>
      <w:start w:val="3"/>
    </w:lvl>
  </w:abstractNum>
  <w:abstractNum w:abstractNumId="65">
    <w:nsid w:val="68EBC550"/>
    <w:multiLevelType w:val="hybridMultilevel"/>
    <w:lvl w:ilvl="0">
      <w:lvlJc w:val="left"/>
      <w:lvlText w:val="(%1)"/>
      <w:numFmt w:val="lowerLetter"/>
      <w:start w:val="4"/>
    </w:lvl>
  </w:abstractNum>
  <w:abstractNum w:abstractNumId="66">
    <w:nsid w:val="2DF6D648"/>
    <w:multiLevelType w:val="hybridMultilevel"/>
    <w:lvl w:ilvl="0">
      <w:lvlJc w:val="left"/>
      <w:lvlText w:val="(%1)"/>
      <w:numFmt w:val="lowerLetter"/>
      <w:start w:val="6"/>
    </w:lvl>
  </w:abstractNum>
  <w:abstractNum w:abstractNumId="67">
    <w:nsid w:val="46B7D447"/>
    <w:multiLevelType w:val="hybridMultilevel"/>
    <w:lvl w:ilvl="0">
      <w:lvlJc w:val="left"/>
      <w:lvlText w:val="(%1)"/>
      <w:numFmt w:val="lowerLetter"/>
      <w:start w:val="7"/>
    </w:lvl>
  </w:abstractNum>
  <w:abstractNum w:abstractNumId="68">
    <w:nsid w:val="4A2AC315"/>
    <w:multiLevelType w:val="hybridMultilevel"/>
    <w:lvl w:ilvl="0">
      <w:lvlJc w:val="left"/>
      <w:lvlText w:val="(%1)"/>
      <w:numFmt w:val="lowerLetter"/>
      <w:start w:val="8"/>
    </w:lvl>
    <w:lvl w:ilvl="1">
      <w:lvlJc w:val="left"/>
      <w:lvlText w:val="(%2)"/>
      <w:numFmt w:val="lowerLetter"/>
      <w:start w:val="9"/>
    </w:lvl>
  </w:abstractNum>
  <w:abstractNum w:abstractNumId="69">
    <w:nsid w:val="39EE015C"/>
    <w:multiLevelType w:val="hybridMultilevel"/>
    <w:lvl w:ilvl="0">
      <w:lvlJc w:val="left"/>
      <w:lvlText w:val="(%1)"/>
      <w:numFmt w:val="lowerRoman"/>
      <w:start w:val="2"/>
    </w:lvl>
  </w:abstractNum>
  <w:abstractNum w:abstractNumId="70">
    <w:nsid w:val="57FC4FBB"/>
    <w:multiLevelType w:val="hybridMultilevel"/>
    <w:lvl w:ilvl="0">
      <w:lvlJc w:val="left"/>
      <w:lvlText w:val="%1"/>
      <w:numFmt w:val="lowerRoman"/>
      <w:start w:val="1"/>
    </w:lvl>
    <w:lvl w:ilvl="1">
      <w:lvlJc w:val="left"/>
      <w:lvlText w:val="(%2)"/>
      <w:numFmt w:val="lowerRoman"/>
      <w:start w:val="3"/>
    </w:lvl>
  </w:abstractNum>
  <w:abstractNum w:abstractNumId="71">
    <w:nsid w:val="CC1016F"/>
    <w:multiLevelType w:val="hybridMultilevel"/>
    <w:lvl w:ilvl="0">
      <w:lvlJc w:val="left"/>
      <w:lvlText w:val="(%1)"/>
      <w:numFmt w:val="lowerRoman"/>
      <w:start w:val="18"/>
    </w:lvl>
    <w:lvl w:ilvl="1">
      <w:lvlJc w:val="left"/>
      <w:lvlText w:val="%2"/>
      <w:numFmt w:val="lowerRoman"/>
      <w:start w:val="1"/>
    </w:lvl>
  </w:abstractNum>
  <w:abstractNum w:abstractNumId="72">
    <w:nsid w:val="43F18422"/>
    <w:multiLevelType w:val="hybridMultilevel"/>
    <w:lvl w:ilvl="0">
      <w:lvlJc w:val="left"/>
      <w:lvlText w:val="(%1)"/>
      <w:numFmt w:val="lowerRoman"/>
      <w:start w:val="4"/>
    </w:lvl>
  </w:abstractNum>
  <w:abstractNum w:abstractNumId="73">
    <w:nsid w:val="60EF0119"/>
    <w:multiLevelType w:val="hybridMultilevel"/>
    <w:lvl w:ilvl="0">
      <w:lvlJc w:val="left"/>
      <w:lvlText w:val="(%1)"/>
      <w:numFmt w:val="lowerRoman"/>
      <w:start w:val="5"/>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1)"/>
      <w:numFmt w:val="lowerLetter"/>
      <w:start w:val="10"/>
    </w:lvl>
  </w:abstractNum>
  <w:abstractNum w:abstractNumId="76">
    <w:nsid w:val="49DA307D"/>
    <w:multiLevelType w:val="hybridMultilevel"/>
    <w:lvl w:ilvl="0">
      <w:lvlJc w:val="left"/>
      <w:lvlText w:val="(%1)"/>
      <w:numFmt w:val="lowerLetter"/>
      <w:start w:val="23"/>
    </w:lvl>
  </w:abstractNum>
  <w:abstractNum w:abstractNumId="77">
    <w:nsid w:val="7055A5F5"/>
    <w:multiLevelType w:val="hybridMultilevel"/>
    <w:lvl w:ilvl="0">
      <w:lvlJc w:val="left"/>
      <w:lvlText w:val="(%1)"/>
      <w:numFmt w:val="lowerLetter"/>
      <w:start w:val="11"/>
    </w:lvl>
  </w:abstractNum>
  <w:abstractNum w:abstractNumId="78">
    <w:nsid w:val="5FB8370B"/>
    <w:multiLevelType w:val="hybridMultilevel"/>
    <w:lvl w:ilvl="0">
      <w:lvlJc w:val="left"/>
      <w:lvlText w:val="(%1)"/>
      <w:numFmt w:val="lowerLetter"/>
      <w:start w:val="1"/>
    </w:lvl>
    <w:lvl w:ilvl="1">
      <w:lvlJc w:val="left"/>
      <w:lvlText w:val="(%2)"/>
      <w:numFmt w:val="lowerRoman"/>
      <w:start w:val="1"/>
    </w:lvl>
  </w:abstractNum>
  <w:abstractNum w:abstractNumId="79">
    <w:nsid w:val="50801EE1"/>
    <w:multiLevelType w:val="hybridMultilevel"/>
    <w:lvl w:ilvl="0">
      <w:lvlJc w:val="left"/>
      <w:lvlText w:val="(%1)"/>
      <w:numFmt w:val="lowerLetter"/>
      <w:start w:val="7"/>
    </w:lvl>
  </w:abstractNum>
  <w:abstractNum w:abstractNumId="80">
    <w:nsid w:val="488AC1A"/>
    <w:multiLevelType w:val="hybridMultilevel"/>
    <w:lvl w:ilvl="0">
      <w:lvlJc w:val="left"/>
      <w:lvlText w:val="(%1)"/>
      <w:numFmt w:val="lowerLetter"/>
      <w:start w:val="1"/>
    </w:lvl>
  </w:abstractNum>
  <w:abstractNum w:abstractNumId="81">
    <w:nsid w:val="5FB8011C"/>
    <w:multiLevelType w:val="hybridMultilevel"/>
    <w:lvl w:ilvl="0">
      <w:lvlJc w:val="left"/>
      <w:lvlText w:val="(%1)"/>
      <w:numFmt w:val="lowerLetter"/>
      <w:start w:val="4"/>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lowerRoman"/>
      <w:start w:val="1"/>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Letter"/>
      <w:start w:val="1"/>
    </w:lvl>
  </w:abstractNum>
  <w:abstractNum w:abstractNumId="86">
    <w:nsid w:val="7D5E18F8"/>
    <w:multiLevelType w:val="hybridMultilevel"/>
    <w:lvl w:ilvl="0">
      <w:lvlJc w:val="left"/>
      <w:lvlText w:val="(%1)"/>
      <w:numFmt w:val="lowerLetter"/>
      <w:start w:val="2"/>
    </w:lvl>
  </w:abstractNum>
  <w:abstractNum w:abstractNumId="87">
    <w:nsid w:val="5F3534A4"/>
    <w:multiLevelType w:val="hybridMultilevel"/>
    <w:lvl w:ilvl="0">
      <w:lvlJc w:val="left"/>
      <w:lvlText w:val="(%1)"/>
      <w:numFmt w:val="decimal"/>
      <w:start w:val="704"/>
    </w:lvl>
  </w:abstractNum>
  <w:abstractNum w:abstractNumId="88">
    <w:nsid w:val="73A1821B"/>
    <w:multiLevelType w:val="hybridMultilevel"/>
    <w:lvl w:ilvl="0">
      <w:lvlJc w:val="left"/>
      <w:lvlText w:val="(%1)"/>
      <w:numFmt w:val="decimal"/>
      <w:start w:val="704"/>
    </w:lvl>
  </w:abstractNum>
  <w:abstractNum w:abstractNumId="89">
    <w:nsid w:val="7DE67713"/>
    <w:multiLevelType w:val="hybridMultilevel"/>
    <w:lvl w:ilvl="0">
      <w:lvlJc w:val="left"/>
      <w:lvlText w:val="(%1)"/>
      <w:numFmt w:val="decimal"/>
      <w:start w:val="704"/>
    </w:lvl>
  </w:abstractNum>
  <w:abstractNum w:abstractNumId="90">
    <w:nsid w:val="555C55B5"/>
    <w:multiLevelType w:val="hybridMultilevel"/>
    <w:lvl w:ilvl="0">
      <w:lvlJc w:val="left"/>
      <w:lvlText w:val="(%1)"/>
      <w:numFmt w:val="decimal"/>
      <w:start w:val="704"/>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decimal"/>
      <w:start w:val="1"/>
    </w:lvl>
    <w:lvl w:ilvl="1">
      <w:lvlJc w:val="left"/>
      <w:lvlText w:val="(%2)"/>
      <w:numFmt w:val="lowerLetter"/>
      <w:start w:val="1"/>
    </w:lvl>
  </w:abstractNum>
  <w:abstractNum w:abstractNumId="98">
    <w:nsid w:val="5092CA79"/>
    <w:multiLevelType w:val="hybridMultilevel"/>
    <w:lvl w:ilvl="0">
      <w:lvlJc w:val="left"/>
      <w:lvlText w:val="%1."/>
      <w:numFmt w:val="decimal"/>
      <w:start w:val="1"/>
    </w:lvl>
    <w:lvl w:ilvl="1">
      <w:lvlJc w:val="left"/>
      <w:lvlText w:val="(%2)"/>
      <w:numFmt w:val="lowerLetter"/>
      <w:start w:val="1"/>
    </w:lvl>
  </w:abstractNum>
  <w:abstractNum w:abstractNumId="99">
    <w:nsid w:val="1D545C4D"/>
    <w:multiLevelType w:val="hybridMultilevel"/>
    <w:lvl w:ilvl="0">
      <w:lvlJc w:val="left"/>
      <w:lvlText w:val="(%1)"/>
      <w:numFmt w:val="decimal"/>
      <w:start w:val="1"/>
    </w:lvl>
  </w:abstractNum>
  <w:abstractNum w:abstractNumId="100">
    <w:nsid w:val="59ADEA3D"/>
    <w:multiLevelType w:val="hybridMultilevel"/>
    <w:lvl w:ilvl="0">
      <w:lvlJc w:val="left"/>
      <w:lvlText w:val="%1."/>
      <w:numFmt w:val="upperLetter"/>
      <w:start w:val="6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3"/>
    </w:lvl>
  </w:abstractNum>
  <w:abstractNum w:abstractNumId="103">
    <w:nsid w:val="1D9F6E5F"/>
    <w:multiLevelType w:val="hybridMultilevel"/>
    <w:lvl w:ilvl="0">
      <w:lvlJc w:val="left"/>
      <w:lvlText w:val="(%1)"/>
      <w:numFmt w:val="decimal"/>
      <w:start w:val="2"/>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1"/>
    </w:lvl>
  </w:abstractNum>
  <w:abstractNum w:abstractNumId="107">
    <w:nsid w:val="53584BCB"/>
    <w:multiLevelType w:val="hybridMultilevel"/>
    <w:lvl w:ilvl="0">
      <w:lvlJc w:val="left"/>
      <w:lvlText w:val="(%1)"/>
      <w:numFmt w:val="lowerLetter"/>
      <w:start w:val="1"/>
    </w:lvl>
    <w:lvl w:ilvl="1">
      <w:lvlJc w:val="left"/>
      <w:lvlText w:val="(%2)"/>
      <w:numFmt w:val="decimal"/>
      <w:start w:val="1"/>
    </w:lvl>
  </w:abstractNum>
  <w:abstractNum w:abstractNumId="108">
    <w:nsid w:val="415E286C"/>
    <w:multiLevelType w:val="hybridMultilevel"/>
    <w:lvl w:ilvl="0">
      <w:lvlJc w:val="left"/>
      <w:lvlText w:val="(%1)"/>
      <w:numFmt w:val="decimal"/>
      <w:start w:val="3"/>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2019-12-14T21:53:57Z</dcterms:created>
  <dcterms:modified xsi:type="dcterms:W3CDTF">2019-12-14T21:53:57Z</dcterms:modified>
</cp:coreProperties>
</file>