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487045</wp:posOffset>
            </wp:positionH>
            <wp:positionV relativeFrom="page">
              <wp:posOffset>673735</wp:posOffset>
            </wp:positionV>
            <wp:extent cx="6917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055" cy="8255"/>
                    </a:xfrm>
                    <a:prstGeom prst="rect">
                      <a:avLst/>
                    </a:prstGeom>
                    <a:noFill/>
                  </pic:spPr>
                </pic:pic>
              </a:graphicData>
            </a:graphic>
          </wp:anchor>
        </w:drawing>
        <w:drawing>
          <wp:anchor simplePos="0" relativeHeight="251657728" behindDoc="1" locked="0" layoutInCell="0" allowOverlap="1">
            <wp:simplePos x="0" y="0"/>
            <wp:positionH relativeFrom="page">
              <wp:posOffset>487045</wp:posOffset>
            </wp:positionH>
            <wp:positionV relativeFrom="page">
              <wp:posOffset>699135</wp:posOffset>
            </wp:positionV>
            <wp:extent cx="6917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055"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5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September 30, 2026</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6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29"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0" w:right="339" w:bottom="1440" w:gutter="0" w:footer="0" w:header="0"/>
        </w:sectPr>
      </w:pPr>
    </w:p>
    <w:p>
      <w:pPr>
        <w:spacing w:after="0" w:line="37"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3"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5"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57" w:lineRule="exact"/>
        <w:rPr>
          <w:sz w:val="24"/>
          <w:szCs w:val="24"/>
          <w:color w:val="auto"/>
        </w:rPr>
      </w:pPr>
    </w:p>
    <w:p>
      <w:pPr>
        <w:sectPr>
          <w:pgSz w:w="11900" w:h="16838" w:orient="portrait"/>
          <w:cols w:equalWidth="0" w:num="3">
            <w:col w:w="4380" w:space="720"/>
            <w:col w:w="1420" w:space="720"/>
            <w:col w:w="4000"/>
          </w:cols>
          <w:pgMar w:left="320" w:top="1420" w:right="339" w:bottom="1440" w:gutter="0" w:footer="0" w:header="0"/>
          <w:type w:val="continuous"/>
        </w:sectPr>
      </w:pPr>
    </w:p>
    <w:p>
      <w:pPr>
        <w:jc w:val="both"/>
        <w:ind w:firstLine="240"/>
        <w:spacing w:after="0" w:line="2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 w:lineRule="exact"/>
        <w:rPr>
          <w:sz w:val="24"/>
          <w:szCs w:val="24"/>
          <w:color w:val="auto"/>
        </w:rPr>
      </w:pPr>
    </w:p>
    <w:p>
      <w:pPr>
        <w:jc w:val="both"/>
        <w:ind w:firstLine="24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jc w:val="both"/>
        <w:ind w:firstLine="2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60" w:type="dxa"/>
        <w:tblCellMar>
          <w:top w:w="0" w:type="dxa"/>
          <w:left w:w="0" w:type="dxa"/>
          <w:bottom w:w="0" w:type="dxa"/>
          <w:right w:w="0" w:type="dxa"/>
        </w:tblCellMar>
      </w:tblPr>
      <w:tr>
        <w:trPr>
          <w:trHeight w:val="28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8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8" w:lineRule="exact"/>
        <w:rPr>
          <w:sz w:val="24"/>
          <w:szCs w:val="24"/>
          <w:color w:val="auto"/>
        </w:rPr>
      </w:pPr>
    </w:p>
    <w:p>
      <w:pPr>
        <w:ind w:firstLine="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left="2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October 21, 2026, the number of shares outstanding of the registrant’s common stock, par value $0.01 per share, was 34,208,431.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828040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52705</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78105</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2026</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3"/>
        </w:trPr>
        <w:tc>
          <w:tcPr>
            <w:tcW w:w="7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80" w:type="dxa"/>
            <w:vAlign w:val="bottom"/>
            <w:shd w:val="clear" w:color="auto" w:fill="CCEEFF"/>
          </w:tcPr>
          <w:p>
            <w:pPr>
              <w:spacing w:after="0"/>
              <w:rPr>
                <w:sz w:val="15"/>
                <w:szCs w:val="15"/>
                <w:color w:val="auto"/>
              </w:rPr>
            </w:pPr>
          </w:p>
        </w:tc>
        <w:tc>
          <w:tcPr>
            <w:tcW w:w="9540" w:type="dxa"/>
            <w:vAlign w:val="bottom"/>
            <w:gridSpan w:val="20"/>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0000FF"/>
              </w:rPr>
              <w:t>Financial Information</w:t>
            </w:r>
          </w:p>
        </w:tc>
        <w:tc>
          <w:tcPr>
            <w:tcW w:w="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Item 1. Financial Statements</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September 30, 2026 (Unaudited) and December 31, 2025</w:t>
            </w:r>
          </w:p>
        </w:tc>
        <w:tc>
          <w:tcPr>
            <w:tcW w:w="480" w:type="dxa"/>
            <w:vAlign w:val="bottom"/>
            <w:gridSpan w:val="4"/>
            <w:shd w:val="clear" w:color="auto" w:fill="CCEEFF"/>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1</w:t>
            </w:r>
          </w:p>
        </w:tc>
        <w:tc>
          <w:tcPr>
            <w:tcW w:w="340" w:type="dxa"/>
            <w:vAlign w:val="bottom"/>
            <w:shd w:val="clear" w:color="auto" w:fill="CCEEFF"/>
          </w:tcPr>
          <w:p>
            <w:pPr>
              <w:spacing w:after="0"/>
              <w:rPr>
                <w:sz w:val="17"/>
                <w:szCs w:val="17"/>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Nine Months Ended September 30, 2026 and 2025</w:t>
            </w:r>
          </w:p>
        </w:tc>
        <w:tc>
          <w:tcPr>
            <w:tcW w:w="480" w:type="dxa"/>
            <w:vAlign w:val="bottom"/>
            <w:gridSpan w:val="4"/>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2</w:t>
            </w:r>
          </w:p>
        </w:tc>
        <w:tc>
          <w:tcPr>
            <w:tcW w:w="3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34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Nine Months Ended September 30, 2026 and 2025</w:t>
            </w:r>
          </w:p>
        </w:tc>
        <w:tc>
          <w:tcPr>
            <w:tcW w:w="480" w:type="dxa"/>
            <w:vAlign w:val="bottom"/>
            <w:gridSpan w:val="4"/>
            <w:shd w:val="clear" w:color="auto" w:fill="CCEEFF"/>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3</w:t>
            </w:r>
          </w:p>
        </w:tc>
        <w:tc>
          <w:tcPr>
            <w:tcW w:w="340" w:type="dxa"/>
            <w:vAlign w:val="bottom"/>
            <w:shd w:val="clear" w:color="auto" w:fill="CCEEFF"/>
          </w:tcPr>
          <w:p>
            <w:pPr>
              <w:spacing w:after="0"/>
              <w:rPr>
                <w:sz w:val="17"/>
                <w:szCs w:val="17"/>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 (Unaudited) - Three and Nine Months Ended September 30, 2026 and 2025</w:t>
            </w:r>
          </w:p>
        </w:tc>
        <w:tc>
          <w:tcPr>
            <w:tcW w:w="1140" w:type="dxa"/>
            <w:vAlign w:val="bottom"/>
          </w:tcPr>
          <w:p>
            <w:pPr>
              <w:spacing w:after="0"/>
              <w:rPr>
                <w:sz w:val="17"/>
                <w:szCs w:val="17"/>
                <w:color w:val="auto"/>
              </w:rPr>
            </w:pPr>
          </w:p>
        </w:tc>
        <w:tc>
          <w:tcPr>
            <w:tcW w:w="480" w:type="dxa"/>
            <w:vAlign w:val="bottom"/>
            <w:gridSpan w:val="4"/>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4</w:t>
            </w:r>
          </w:p>
        </w:tc>
        <w:tc>
          <w:tcPr>
            <w:tcW w:w="3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7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 (Unaudited) - Nine Months Ended September 30, 2026 and 2025</w:t>
            </w:r>
          </w:p>
        </w:tc>
        <w:tc>
          <w:tcPr>
            <w:tcW w:w="2580" w:type="dxa"/>
            <w:vAlign w:val="bottom"/>
            <w:gridSpan w:val="4"/>
            <w:shd w:val="clear" w:color="auto" w:fill="CCEEFF"/>
          </w:tcPr>
          <w:p>
            <w:pPr>
              <w:spacing w:after="0"/>
              <w:rPr>
                <w:sz w:val="17"/>
                <w:szCs w:val="17"/>
                <w:color w:val="auto"/>
              </w:rPr>
            </w:pPr>
          </w:p>
        </w:tc>
        <w:tc>
          <w:tcPr>
            <w:tcW w:w="480" w:type="dxa"/>
            <w:vAlign w:val="bottom"/>
            <w:gridSpan w:val="4"/>
            <w:shd w:val="clear" w:color="auto" w:fill="CCEEFF"/>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6</w:t>
            </w:r>
          </w:p>
        </w:tc>
        <w:tc>
          <w:tcPr>
            <w:tcW w:w="340" w:type="dxa"/>
            <w:vAlign w:val="bottom"/>
            <w:shd w:val="clear" w:color="auto" w:fill="CCEEFF"/>
          </w:tcPr>
          <w:p>
            <w:pPr>
              <w:spacing w:after="0"/>
              <w:rPr>
                <w:sz w:val="17"/>
                <w:szCs w:val="17"/>
                <w:color w:val="auto"/>
              </w:rPr>
            </w:pP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2580" w:type="dxa"/>
            <w:vAlign w:val="bottom"/>
            <w:gridSpan w:val="4"/>
          </w:tcPr>
          <w:p>
            <w:pPr>
              <w:spacing w:after="0"/>
              <w:rPr>
                <w:sz w:val="17"/>
                <w:szCs w:val="17"/>
                <w:color w:val="auto"/>
              </w:rPr>
            </w:pPr>
          </w:p>
        </w:tc>
        <w:tc>
          <w:tcPr>
            <w:tcW w:w="480" w:type="dxa"/>
            <w:vAlign w:val="bottom"/>
            <w:gridSpan w:val="4"/>
          </w:tcPr>
          <w:p>
            <w:pPr>
              <w:jc w:val="center"/>
              <w:ind w:left="231"/>
              <w:spacing w:after="0" w:line="201" w:lineRule="exact"/>
              <w:rPr>
                <w:sz w:val="20"/>
                <w:szCs w:val="20"/>
                <w:color w:val="auto"/>
              </w:rPr>
            </w:pPr>
            <w:r>
              <w:rPr>
                <w:rFonts w:ascii="Times New Roman" w:cs="Times New Roman" w:eastAsia="Times New Roman" w:hAnsi="Times New Roman"/>
                <w:sz w:val="18"/>
                <w:szCs w:val="18"/>
                <w:color w:val="0000FF"/>
                <w:w w:val="88"/>
              </w:rPr>
              <w:t>7</w:t>
            </w:r>
          </w:p>
        </w:tc>
        <w:tc>
          <w:tcPr>
            <w:tcW w:w="3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5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 Management's Discussion and Analysis of Financial Condition and Results of Operations</w:t>
            </w:r>
          </w:p>
        </w:tc>
        <w:tc>
          <w:tcPr>
            <w:tcW w:w="820" w:type="dxa"/>
            <w:vAlign w:val="bottom"/>
            <w:gridSpan w:val="5"/>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23</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320" w:type="dxa"/>
            <w:vAlign w:val="bottom"/>
            <w:gridSpan w:val="5"/>
          </w:tcPr>
          <w:p>
            <w:pPr>
              <w:spacing w:after="0"/>
              <w:rPr>
                <w:sz w:val="17"/>
                <w:szCs w:val="17"/>
                <w:color w:val="auto"/>
              </w:rPr>
            </w:pPr>
          </w:p>
        </w:tc>
        <w:tc>
          <w:tcPr>
            <w:tcW w:w="820" w:type="dxa"/>
            <w:vAlign w:val="bottom"/>
            <w:gridSpan w:val="5"/>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32</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0"/>
        </w:trPr>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4. Controls and Procedures</w:t>
            </w:r>
          </w:p>
        </w:tc>
        <w:tc>
          <w:tcPr>
            <w:tcW w:w="7460" w:type="dxa"/>
            <w:vAlign w:val="bottom"/>
            <w:gridSpan w:val="10"/>
            <w:shd w:val="clear" w:color="auto" w:fill="CCEEFF"/>
          </w:tcPr>
          <w:p>
            <w:pPr>
              <w:spacing w:after="0"/>
              <w:rPr>
                <w:sz w:val="19"/>
                <w:szCs w:val="19"/>
                <w:color w:val="auto"/>
              </w:rPr>
            </w:pPr>
          </w:p>
        </w:tc>
        <w:tc>
          <w:tcPr>
            <w:tcW w:w="820" w:type="dxa"/>
            <w:vAlign w:val="bottom"/>
            <w:gridSpan w:val="5"/>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33</w:t>
            </w:r>
          </w:p>
        </w:tc>
      </w:tr>
      <w:tr>
        <w:trPr>
          <w:trHeight w:val="187"/>
        </w:trPr>
        <w:tc>
          <w:tcPr>
            <w:tcW w:w="7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80" w:type="dxa"/>
            <w:vAlign w:val="bottom"/>
            <w:tcBorders>
              <w:top w:val="single" w:sz="8" w:color="CCEEFF"/>
            </w:tcBorders>
          </w:tcPr>
          <w:p>
            <w:pPr>
              <w:spacing w:after="0"/>
              <w:rPr>
                <w:sz w:val="16"/>
                <w:szCs w:val="16"/>
                <w:color w:val="auto"/>
              </w:rPr>
            </w:pPr>
          </w:p>
        </w:tc>
        <w:tc>
          <w:tcPr>
            <w:tcW w:w="20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7460" w:type="dxa"/>
            <w:vAlign w:val="bottom"/>
            <w:tcBorders>
              <w:top w:val="single" w:sz="8" w:color="CCEEFF"/>
            </w:tcBorders>
            <w:gridSpan w:val="10"/>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820" w:type="dxa"/>
            <w:vAlign w:val="bottom"/>
            <w:gridSpan w:val="5"/>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7860" w:type="dxa"/>
            <w:vAlign w:val="bottom"/>
            <w:gridSpan w:val="12"/>
          </w:tcPr>
          <w:p>
            <w:pPr>
              <w:spacing w:after="0"/>
              <w:rPr>
                <w:sz w:val="17"/>
                <w:szCs w:val="17"/>
                <w:color w:val="auto"/>
              </w:rPr>
            </w:pPr>
          </w:p>
        </w:tc>
        <w:tc>
          <w:tcPr>
            <w:tcW w:w="820" w:type="dxa"/>
            <w:vAlign w:val="bottom"/>
            <w:gridSpan w:val="5"/>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33</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20" w:type="dxa"/>
            <w:vAlign w:val="bottom"/>
            <w:gridSpan w:val="5"/>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880" w:type="dxa"/>
            <w:vAlign w:val="bottom"/>
            <w:gridSpan w:val="10"/>
          </w:tcPr>
          <w:p>
            <w:pPr>
              <w:ind w:left="20"/>
              <w:spacing w:after="0"/>
              <w:rPr>
                <w:sz w:val="20"/>
                <w:szCs w:val="20"/>
                <w:color w:val="auto"/>
              </w:rPr>
            </w:pPr>
            <w:r>
              <w:rPr>
                <w:rFonts w:ascii="Times New Roman" w:cs="Times New Roman" w:eastAsia="Times New Roman" w:hAnsi="Times New Roman"/>
                <w:sz w:val="16"/>
                <w:szCs w:val="16"/>
                <w:color w:val="0000FF"/>
              </w:rPr>
              <w:t>Other Information</w:t>
            </w:r>
          </w:p>
        </w:tc>
        <w:tc>
          <w:tcPr>
            <w:tcW w:w="5180" w:type="dxa"/>
            <w:vAlign w:val="bottom"/>
            <w:gridSpan w:val="8"/>
          </w:tcPr>
          <w:p>
            <w:pPr>
              <w:spacing w:after="0"/>
              <w:rPr>
                <w:sz w:val="17"/>
                <w:szCs w:val="17"/>
                <w:color w:val="auto"/>
              </w:rPr>
            </w:pPr>
          </w:p>
        </w:tc>
        <w:tc>
          <w:tcPr>
            <w:tcW w:w="820" w:type="dxa"/>
            <w:vAlign w:val="bottom"/>
            <w:gridSpan w:val="5"/>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34</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0000FF"/>
              </w:rPr>
              <w:t>Item 6.</w:t>
            </w:r>
          </w:p>
        </w:tc>
        <w:tc>
          <w:tcPr>
            <w:tcW w:w="906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Exhibits</w:t>
            </w:r>
          </w:p>
        </w:tc>
        <w:tc>
          <w:tcPr>
            <w:tcW w:w="820" w:type="dxa"/>
            <w:vAlign w:val="bottom"/>
            <w:gridSpan w:val="5"/>
            <w:shd w:val="clear" w:color="auto" w:fill="CCEEFF"/>
          </w:tcPr>
          <w:p>
            <w:pPr>
              <w:jc w:val="center"/>
              <w:ind w:right="20"/>
              <w:spacing w:after="0" w:line="201" w:lineRule="exact"/>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80" w:top="111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9"/>
              </w:rPr>
              <w:t>Accounts and notes receivable, net of allowances of $8.0 and $8.5 in 2026 and 2025, respectively</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0" w:type="dxa"/>
            <w:vAlign w:val="bottom"/>
          </w:tcPr>
          <w:p>
            <w:pPr>
              <w:spacing w:after="0"/>
              <w:rPr>
                <w:sz w:val="1"/>
                <w:szCs w:val="1"/>
                <w:color w:val="auto"/>
              </w:rPr>
            </w:pPr>
          </w:p>
        </w:tc>
      </w:tr>
      <w:tr>
        <w:trPr>
          <w:trHeight w:val="225"/>
        </w:trPr>
        <w:tc>
          <w:tcPr>
            <w:tcW w:w="6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1,903.8</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178"/>
        </w:trPr>
        <w:tc>
          <w:tcPr>
            <w:tcW w:w="6780" w:type="dxa"/>
            <w:vAlign w:val="bottom"/>
          </w:tcPr>
          <w:p>
            <w:pPr>
              <w:ind w:left="20"/>
              <w:spacing w:after="0" w:line="179"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$1,106.1 and $1,043.9 in 2026</w:t>
            </w:r>
          </w:p>
        </w:tc>
        <w:tc>
          <w:tcPr>
            <w:tcW w:w="200" w:type="dxa"/>
            <w:vAlign w:val="bottom"/>
          </w:tcPr>
          <w:p>
            <w:pPr>
              <w:spacing w:after="0"/>
              <w:rPr>
                <w:sz w:val="15"/>
                <w:szCs w:val="15"/>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937.0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887.2</w:t>
            </w:r>
          </w:p>
        </w:tc>
        <w:tc>
          <w:tcPr>
            <w:tcW w:w="0" w:type="dxa"/>
            <w:vAlign w:val="bottom"/>
          </w:tcPr>
          <w:p>
            <w:pPr>
              <w:spacing w:after="0"/>
              <w:rPr>
                <w:sz w:val="1"/>
                <w:szCs w:val="1"/>
                <w:color w:val="auto"/>
              </w:rPr>
            </w:pPr>
          </w:p>
        </w:tc>
      </w:tr>
      <w:tr>
        <w:trPr>
          <w:trHeight w:val="220"/>
        </w:trPr>
        <w:tc>
          <w:tcPr>
            <w:tcW w:w="6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2025, respectively</w:t>
            </w:r>
          </w:p>
        </w:tc>
        <w:tc>
          <w:tcPr>
            <w:tcW w:w="200" w:type="dxa"/>
            <w:vAlign w:val="bottom"/>
          </w:tcPr>
          <w:p>
            <w:pPr>
              <w:spacing w:after="0"/>
              <w:rPr>
                <w:sz w:val="19"/>
                <w:szCs w:val="19"/>
                <w:color w:val="auto"/>
              </w:rPr>
            </w:pPr>
          </w:p>
        </w:tc>
        <w:tc>
          <w:tcPr>
            <w:tcW w:w="19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497.2</w:t>
            </w:r>
          </w:p>
        </w:tc>
        <w:tc>
          <w:tcPr>
            <w:tcW w:w="0" w:type="dxa"/>
            <w:vAlign w:val="bottom"/>
          </w:tcPr>
          <w:p>
            <w:pPr>
              <w:spacing w:after="0"/>
              <w:rPr>
                <w:sz w:val="1"/>
                <w:szCs w:val="1"/>
                <w:color w:val="auto"/>
              </w:rPr>
            </w:pPr>
          </w:p>
        </w:tc>
      </w:tr>
      <w:tr>
        <w:trPr>
          <w:trHeight w:val="187"/>
        </w:trPr>
        <w:tc>
          <w:tcPr>
            <w:tcW w:w="678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Intangible assets, net of accumulated amortization of $52.0 and $38.3 in 2026 and 2025,</w:t>
            </w:r>
          </w:p>
        </w:tc>
        <w:tc>
          <w:tcPr>
            <w:tcW w:w="200" w:type="dxa"/>
            <w:vAlign w:val="bottom"/>
            <w:shd w:val="clear" w:color="auto" w:fill="CCEEFF"/>
          </w:tcPr>
          <w:p>
            <w:pPr>
              <w:spacing w:after="0"/>
              <w:rPr>
                <w:sz w:val="16"/>
                <w:szCs w:val="16"/>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shd w:val="clear" w:color="auto" w:fill="CCEEFF"/>
          </w:tcPr>
          <w:p>
            <w:pPr>
              <w:spacing w:after="0"/>
              <w:rPr>
                <w:sz w:val="19"/>
                <w:szCs w:val="19"/>
                <w:color w:val="auto"/>
              </w:rPr>
            </w:pPr>
          </w:p>
        </w:tc>
        <w:tc>
          <w:tcPr>
            <w:tcW w:w="19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4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0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0" w:type="dxa"/>
            <w:vAlign w:val="bottom"/>
          </w:tcPr>
          <w:p>
            <w:pPr>
              <w:spacing w:after="0"/>
              <w:rPr>
                <w:sz w:val="1"/>
                <w:szCs w:val="1"/>
                <w:color w:val="auto"/>
              </w:rPr>
            </w:pPr>
          </w:p>
        </w:tc>
      </w:tr>
      <w:tr>
        <w:trPr>
          <w:trHeight w:val="240"/>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4,689.3</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67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374.2</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25"/>
        </w:trPr>
        <w:tc>
          <w:tcPr>
            <w:tcW w:w="67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1,191.8</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1,144.1</w:t>
            </w: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0" w:type="dxa"/>
            <w:vAlign w:val="bottom"/>
          </w:tcPr>
          <w:p>
            <w:pPr>
              <w:spacing w:after="0"/>
              <w:rPr>
                <w:sz w:val="1"/>
                <w:szCs w:val="1"/>
                <w:color w:val="auto"/>
              </w:rPr>
            </w:pPr>
          </w:p>
        </w:tc>
      </w:tr>
      <w:tr>
        <w:trPr>
          <w:trHeight w:val="24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3,372.4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2,918.7</w:t>
            </w: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equity:</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20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1,243.0</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shd w:val="clear" w:color="auto" w:fill="CCEEFF"/>
          </w:tcPr>
          <w:p>
            <w:pPr>
              <w:spacing w:after="0"/>
              <w:rPr>
                <w:sz w:val="21"/>
                <w:szCs w:val="21"/>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4,891.1</w:t>
            </w:r>
          </w:p>
        </w:tc>
        <w:tc>
          <w:tcPr>
            <w:tcW w:w="0" w:type="dxa"/>
            <w:vAlign w:val="bottom"/>
          </w:tcPr>
          <w:p>
            <w:pPr>
              <w:spacing w:after="0"/>
              <w:rPr>
                <w:sz w:val="1"/>
                <w:szCs w:val="1"/>
                <w:color w:val="auto"/>
              </w:rPr>
            </w:pPr>
          </w:p>
        </w:tc>
      </w:tr>
      <w:tr>
        <w:trPr>
          <w:trHeight w:val="232"/>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4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stock, at cost, 52,962,480 shares and 52,374,147 shares for 2026 and 2025, respectively</w:t>
            </w:r>
          </w:p>
        </w:tc>
        <w:tc>
          <w:tcPr>
            <w:tcW w:w="20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(5,236.8)</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(4,923.4)</w:t>
            </w:r>
          </w:p>
        </w:tc>
        <w:tc>
          <w:tcPr>
            <w:tcW w:w="0" w:type="dxa"/>
            <w:vAlign w:val="bottom"/>
          </w:tcPr>
          <w:p>
            <w:pPr>
              <w:spacing w:after="0"/>
              <w:rPr>
                <w:sz w:val="1"/>
                <w:szCs w:val="1"/>
                <w:color w:val="auto"/>
              </w:rPr>
            </w:pPr>
          </w:p>
        </w:tc>
      </w:tr>
      <w:tr>
        <w:trPr>
          <w:trHeight w:val="227"/>
        </w:trPr>
        <w:tc>
          <w:tcPr>
            <w:tcW w:w="67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1,316.9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1,163.1</w:t>
            </w:r>
          </w:p>
        </w:tc>
        <w:tc>
          <w:tcPr>
            <w:tcW w:w="0" w:type="dxa"/>
            <w:vAlign w:val="bottom"/>
          </w:tcPr>
          <w:p>
            <w:pPr>
              <w:spacing w:after="0"/>
              <w:rPr>
                <w:sz w:val="1"/>
                <w:szCs w:val="1"/>
                <w:color w:val="auto"/>
              </w:rPr>
            </w:pPr>
          </w:p>
        </w:tc>
      </w:tr>
      <w:tr>
        <w:trPr>
          <w:trHeight w:val="26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4,689.3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4,081.8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160"/>
          </w:cols>
          <w:pgMar w:left="320" w:top="878" w:right="4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878" w:right="41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30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60" w:type="dxa"/>
            <w:vAlign w:val="bottom"/>
          </w:tcPr>
          <w:p>
            <w:pPr>
              <w:spacing w:after="0"/>
              <w:rPr>
                <w:sz w:val="16"/>
                <w:szCs w:val="16"/>
                <w:color w:val="auto"/>
              </w:rPr>
            </w:pPr>
          </w:p>
        </w:tc>
        <w:tc>
          <w:tcPr>
            <w:tcW w:w="244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4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36"/>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1,572.5</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2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4,252.9</w:t>
            </w:r>
          </w:p>
        </w:tc>
        <w:tc>
          <w:tcPr>
            <w:tcW w:w="10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4,000.3</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0" w:type="dxa"/>
            <w:vAlign w:val="bottom"/>
          </w:tcPr>
          <w:p>
            <w:pPr>
              <w:spacing w:after="0"/>
              <w:rPr>
                <w:sz w:val="1"/>
                <w:szCs w:val="1"/>
                <w:color w:val="auto"/>
              </w:rPr>
            </w:pPr>
          </w:p>
        </w:tc>
      </w:tr>
      <w:tr>
        <w:trPr>
          <w:trHeight w:val="234"/>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0" w:type="dxa"/>
            <w:vAlign w:val="bottom"/>
          </w:tcPr>
          <w:p>
            <w:pPr>
              <w:spacing w:after="0"/>
              <w:rPr>
                <w:sz w:val="1"/>
                <w:szCs w:val="1"/>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(gains) and other expenses, net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from previous dispositions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c>
          <w:tcPr>
            <w:tcW w:w="0" w:type="dxa"/>
            <w:vAlign w:val="bottom"/>
          </w:tcPr>
          <w:p>
            <w:pPr>
              <w:spacing w:after="0"/>
              <w:rPr>
                <w:sz w:val="1"/>
                <w:szCs w:val="1"/>
                <w:color w:val="auto"/>
              </w:rPr>
            </w:pPr>
          </w:p>
        </w:tc>
      </w:tr>
      <w:tr>
        <w:trPr>
          <w:trHeight w:val="24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settlements</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5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 – Basic</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 – Diluted</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Basic</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c>
          <w:tcPr>
            <w:tcW w:w="0" w:type="dxa"/>
            <w:vAlign w:val="bottom"/>
          </w:tcPr>
          <w:p>
            <w:pPr>
              <w:spacing w:after="0"/>
              <w:rPr>
                <w:sz w:val="1"/>
                <w:szCs w:val="1"/>
                <w:color w:val="auto"/>
              </w:rPr>
            </w:pPr>
          </w:p>
        </w:tc>
      </w:tr>
      <w:tr>
        <w:trPr>
          <w:trHeight w:val="24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 - 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Amounts may not recalculate due to rounding.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20" w:type="dxa"/>
            <w:vAlign w:val="bottom"/>
          </w:tcPr>
          <w:p>
            <w:pPr>
              <w:spacing w:after="0"/>
              <w:rPr>
                <w:sz w:val="16"/>
                <w:szCs w:val="16"/>
                <w:color w:val="auto"/>
              </w:rPr>
            </w:pPr>
          </w:p>
        </w:tc>
        <w:tc>
          <w:tcPr>
            <w:tcW w:w="23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60" w:type="dxa"/>
            <w:vAlign w:val="bottom"/>
          </w:tcPr>
          <w:p>
            <w:pPr>
              <w:spacing w:after="0"/>
              <w:rPr>
                <w:sz w:val="16"/>
                <w:szCs w:val="16"/>
                <w:color w:val="auto"/>
              </w:rPr>
            </w:pPr>
          </w:p>
        </w:tc>
        <w:tc>
          <w:tcPr>
            <w:tcW w:w="216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6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6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9"/>
        </w:trPr>
        <w:tc>
          <w:tcPr>
            <w:tcW w:w="65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c>
          <w:tcPr>
            <w:tcW w:w="0" w:type="dxa"/>
            <w:vAlign w:val="bottom"/>
          </w:tcPr>
          <w:p>
            <w:pPr>
              <w:spacing w:after="0"/>
              <w:rPr>
                <w:sz w:val="1"/>
                <w:szCs w:val="1"/>
                <w:color w:val="auto"/>
              </w:rPr>
            </w:pPr>
          </w:p>
        </w:tc>
      </w:tr>
      <w:tr>
        <w:trPr>
          <w:trHeight w:val="22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0"/>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gains into earnings</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0" w:type="dxa"/>
            <w:vAlign w:val="bottom"/>
          </w:tcPr>
          <w:p>
            <w:pPr>
              <w:spacing w:after="0"/>
              <w:rPr>
                <w:sz w:val="1"/>
                <w:szCs w:val="1"/>
                <w:color w:val="auto"/>
              </w:rPr>
            </w:pPr>
          </w:p>
        </w:tc>
      </w:tr>
      <w:tr>
        <w:trPr>
          <w:trHeight w:val="259"/>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2026 and 2025</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640" w:type="dxa"/>
            <w:vAlign w:val="bottom"/>
            <w:gridSpan w:val="5"/>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jc w:val="center"/>
              <w:ind w:right="200"/>
              <w:spacing w:after="0" w:line="160" w:lineRule="exact"/>
              <w:rPr>
                <w:sz w:val="20"/>
                <w:szCs w:val="20"/>
                <w:color w:val="auto"/>
              </w:rPr>
            </w:pPr>
            <w:r>
              <w:rPr>
                <w:rFonts w:ascii="Times New Roman" w:cs="Times New Roman" w:eastAsia="Times New Roman" w:hAnsi="Times New Roman"/>
                <w:sz w:val="15"/>
                <w:szCs w:val="15"/>
                <w:b w:val="1"/>
                <w:bCs w:val="1"/>
                <w:color w:val="auto"/>
                <w:w w:val="97"/>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20" w:type="dxa"/>
            <w:vAlign w:val="bottom"/>
            <w:gridSpan w:val="5"/>
            <w:vMerge w:val="restart"/>
          </w:tcPr>
          <w:p>
            <w:pPr>
              <w:jc w:val="center"/>
              <w:ind w:right="100"/>
              <w:spacing w:after="0" w:line="160"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2026)</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gridSpan w:val="2"/>
            <w:vMerge w:val="restart"/>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4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Loss</w:t>
            </w:r>
          </w:p>
        </w:tc>
        <w:tc>
          <w:tcPr>
            <w:tcW w:w="80" w:type="dxa"/>
            <w:vAlign w:val="bottom"/>
            <w:tcBorders>
              <w:bottom w:val="single" w:sz="8" w:color="CCEEFF"/>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2026</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1,255.3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5,185.1</w:t>
            </w: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52.6</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(5,085.5)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$1.36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40" w:type="dxa"/>
            <w:vAlign w:val="bottom"/>
            <w:shd w:val="clear" w:color="auto" w:fill="CCEEFF"/>
          </w:tcPr>
          <w:p>
            <w:pPr>
              <w:ind w:left="220"/>
              <w:spacing w:after="0" w:line="164"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 Stock Purchase Program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gridSpan w:val="2"/>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2026</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1,262.3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5,361.9</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(71.4)</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53.0</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(5,236.8)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60" w:type="dxa"/>
            <w:vAlign w:val="bottom"/>
          </w:tcPr>
          <w:p>
            <w:pPr>
              <w:spacing w:after="0"/>
              <w:rPr>
                <w:sz w:val="12"/>
                <w:szCs w:val="12"/>
                <w:color w:val="auto"/>
              </w:rPr>
            </w:pPr>
          </w:p>
        </w:tc>
        <w:tc>
          <w:tcPr>
            <w:tcW w:w="17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4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80" w:type="dxa"/>
            <w:vAlign w:val="bottom"/>
          </w:tcPr>
          <w:p>
            <w:pPr>
              <w:spacing w:after="0"/>
              <w:rPr>
                <w:sz w:val="8"/>
                <w:szCs w:val="8"/>
                <w:color w:val="auto"/>
              </w:rPr>
            </w:pPr>
          </w:p>
        </w:tc>
        <w:tc>
          <w:tcPr>
            <w:tcW w:w="880" w:type="dxa"/>
            <w:vAlign w:val="bottom"/>
            <w:gridSpan w:val="2"/>
            <w:vMerge w:val="restart"/>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8"/>
                <w:szCs w:val="8"/>
                <w:color w:val="auto"/>
              </w:rPr>
            </w:pPr>
          </w:p>
        </w:tc>
        <w:tc>
          <w:tcPr>
            <w:tcW w:w="8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40" w:type="dxa"/>
            <w:vAlign w:val="bottom"/>
          </w:tcPr>
          <w:p>
            <w:pPr>
              <w:spacing w:after="0"/>
              <w:rPr>
                <w:sz w:val="8"/>
                <w:szCs w:val="8"/>
                <w:color w:val="auto"/>
              </w:rPr>
            </w:pPr>
          </w:p>
        </w:tc>
        <w:tc>
          <w:tcPr>
            <w:tcW w:w="108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60" w:type="dxa"/>
            <w:vAlign w:val="bottom"/>
          </w:tcPr>
          <w:p>
            <w:pPr>
              <w:spacing w:after="0"/>
              <w:rPr>
                <w:sz w:val="8"/>
                <w:szCs w:val="8"/>
                <w:color w:val="auto"/>
              </w:rPr>
            </w:pPr>
          </w:p>
        </w:tc>
        <w:tc>
          <w:tcPr>
            <w:tcW w:w="1700" w:type="dxa"/>
            <w:vAlign w:val="bottom"/>
            <w:tcBorders>
              <w:bottom w:val="single" w:sz="8" w:color="auto"/>
            </w:tcBorders>
            <w:gridSpan w:val="6"/>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vMerge w:val="restart"/>
          </w:tcPr>
          <w:p>
            <w:pPr>
              <w:jc w:val="center"/>
              <w:ind w:right="10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2025)</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4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12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4,579.6</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(61.4)</w:t>
            </w: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(4,729.4)</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1,018.0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Dividends, $1.30 per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4240" w:type="dxa"/>
            <w:vAlign w:val="bottom"/>
            <w:shd w:val="clear" w:color="auto" w:fill="CCEEFF"/>
          </w:tcPr>
          <w:p>
            <w:pPr>
              <w:ind w:left="200"/>
              <w:spacing w:after="0" w:line="164"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Employee Stock Purchase Program and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Treasury stock purchases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(38.2)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(38.2)</w:t>
            </w:r>
          </w:p>
        </w:tc>
        <w:tc>
          <w:tcPr>
            <w:tcW w:w="0" w:type="dxa"/>
            <w:vAlign w:val="bottom"/>
          </w:tcPr>
          <w:p>
            <w:pPr>
              <w:spacing w:after="0"/>
              <w:rPr>
                <w:sz w:val="1"/>
                <w:szCs w:val="1"/>
                <w:color w:val="auto"/>
              </w:rPr>
            </w:pPr>
          </w:p>
        </w:tc>
      </w:tr>
      <w:tr>
        <w:trPr>
          <w:trHeight w:val="23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1,236.1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4,794.1</w:t>
            </w:r>
          </w:p>
        </w:tc>
        <w:tc>
          <w:tcPr>
            <w:tcW w:w="8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(62.0)</w:t>
            </w:r>
          </w:p>
        </w:tc>
        <w:tc>
          <w:tcPr>
            <w:tcW w:w="4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(4,767.4)</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1,201.7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4"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2026 and 2025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rPr>
              <w:t>Other</w:t>
            </w:r>
          </w:p>
        </w:tc>
        <w:tc>
          <w:tcPr>
            <w:tcW w:w="1740" w:type="dxa"/>
            <w:vAlign w:val="bottom"/>
            <w:gridSpan w:val="4"/>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line="160"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line="160"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20" w:type="dxa"/>
            <w:vAlign w:val="bottom"/>
          </w:tcPr>
          <w:p>
            <w:pPr>
              <w:spacing w:after="0"/>
              <w:rPr>
                <w:sz w:val="10"/>
                <w:szCs w:val="10"/>
                <w:color w:val="auto"/>
              </w:rPr>
            </w:pPr>
          </w:p>
        </w:tc>
        <w:tc>
          <w:tcPr>
            <w:tcW w:w="840" w:type="dxa"/>
            <w:vAlign w:val="bottom"/>
            <w:gridSpan w:val="2"/>
            <w:vMerge w:val="restart"/>
          </w:tcPr>
          <w:p>
            <w:pPr>
              <w:ind w:left="40"/>
              <w:spacing w:after="0" w:line="160"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160" w:type="dxa"/>
            <w:vAlign w:val="bottom"/>
            <w:gridSpan w:val="3"/>
            <w:vMerge w:val="restart"/>
          </w:tcPr>
          <w:p>
            <w:pPr>
              <w:jc w:val="center"/>
              <w:ind w:right="80"/>
              <w:spacing w:after="0" w:line="160"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74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spacing w:after="0" w:line="160"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2026)</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82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1,243.0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4,891.1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(4,923.4)</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1,163.1</w:t>
            </w:r>
          </w:p>
        </w:tc>
        <w:tc>
          <w:tcPr>
            <w:tcW w:w="0" w:type="dxa"/>
            <w:vAlign w:val="bottom"/>
          </w:tcPr>
          <w:p>
            <w:pPr>
              <w:spacing w:after="0"/>
              <w:rPr>
                <w:sz w:val="1"/>
                <w:szCs w:val="1"/>
                <w:color w:val="auto"/>
              </w:rPr>
            </w:pPr>
          </w:p>
        </w:tc>
      </w:tr>
      <w:tr>
        <w:trPr>
          <w:trHeight w:val="210"/>
        </w:trPr>
        <w:tc>
          <w:tcPr>
            <w:tcW w:w="4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607.4</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$4.02 per share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(138.7)</w:t>
            </w:r>
          </w:p>
        </w:tc>
        <w:tc>
          <w:tcPr>
            <w:tcW w:w="0" w:type="dxa"/>
            <w:vAlign w:val="bottom"/>
          </w:tcPr>
          <w:p>
            <w:pPr>
              <w:spacing w:after="0"/>
              <w:rPr>
                <w:sz w:val="1"/>
                <w:szCs w:val="1"/>
                <w:color w:val="auto"/>
              </w:rPr>
            </w:pPr>
          </w:p>
        </w:tc>
      </w:tr>
      <w:tr>
        <w:trPr>
          <w:trHeight w:val="210"/>
        </w:trPr>
        <w:tc>
          <w:tcPr>
            <w:tcW w:w="4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0" w:type="dxa"/>
            <w:vAlign w:val="bottom"/>
          </w:tcPr>
          <w:p>
            <w:pPr>
              <w:spacing w:after="0"/>
              <w:rPr>
                <w:sz w:val="1"/>
                <w:szCs w:val="1"/>
                <w:color w:val="auto"/>
              </w:rPr>
            </w:pPr>
          </w:p>
        </w:tc>
      </w:tr>
      <w:tr>
        <w:trPr>
          <w:trHeight w:val="164"/>
        </w:trPr>
        <w:tc>
          <w:tcPr>
            <w:tcW w:w="4260" w:type="dxa"/>
            <w:vAlign w:val="bottom"/>
            <w:shd w:val="clear" w:color="auto" w:fill="CCEEFF"/>
          </w:tcPr>
          <w:p>
            <w:pPr>
              <w:ind w:left="220"/>
              <w:spacing w:after="0" w:line="164"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210"/>
        </w:trPr>
        <w:tc>
          <w:tcPr>
            <w:tcW w:w="4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 Stock Purchase Program and 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10"/>
        </w:trPr>
        <w:tc>
          <w:tcPr>
            <w:tcW w:w="4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206"/>
        </w:trPr>
        <w:tc>
          <w:tcPr>
            <w:tcW w:w="4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082790" cy="161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2790" cy="161290"/>
                    </a:xfrm>
                    <a:prstGeom prst="rect">
                      <a:avLst/>
                    </a:prstGeom>
                    <a:noFill/>
                  </pic:spPr>
                </pic:pic>
              </a:graphicData>
            </a:graphic>
          </wp:anchor>
        </w:drawing>
      </w:r>
    </w:p>
    <w:p>
      <w:pPr>
        <w:sectPr>
          <w:pgSz w:w="11900" w:h="16838" w:orient="portrait"/>
          <w:cols w:equalWidth="0" w:num="1">
            <w:col w:w="11160"/>
          </w:cols>
          <w:pgMar w:left="360" w:top="884" w:right="379" w:bottom="1440" w:gutter="0" w:footer="0" w:header="0"/>
        </w:sectPr>
      </w:pP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2025)</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1,262.3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5,361.9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(5,236.8)</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1,316.9</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0" w:type="dxa"/>
            <w:vAlign w:val="bottom"/>
          </w:tcPr>
          <w:p>
            <w:pPr>
              <w:spacing w:after="0"/>
              <w:rPr>
                <w:sz w:val="16"/>
                <w:szCs w:val="16"/>
                <w:color w:val="auto"/>
              </w:rPr>
            </w:pPr>
          </w:p>
        </w:tc>
        <w:tc>
          <w:tcPr>
            <w:tcW w:w="1800" w:type="dxa"/>
            <w:vAlign w:val="bottom"/>
            <w:gridSpan w:val="7"/>
          </w:tcPr>
          <w:p>
            <w:pPr>
              <w:ind w:left="12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0" w:type="dxa"/>
            <w:vAlign w:val="bottom"/>
          </w:tcPr>
          <w:p>
            <w:pPr>
              <w:spacing w:after="0"/>
              <w:rPr>
                <w:sz w:val="16"/>
                <w:szCs w:val="16"/>
                <w:color w:val="auto"/>
              </w:rPr>
            </w:pPr>
          </w:p>
        </w:tc>
        <w:tc>
          <w:tcPr>
            <w:tcW w:w="84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53"/>
        </w:trPr>
        <w:tc>
          <w:tcPr>
            <w:tcW w:w="120" w:type="dxa"/>
            <w:vAlign w:val="bottom"/>
          </w:tcPr>
          <w:p>
            <w:pPr>
              <w:spacing w:after="0"/>
              <w:rPr>
                <w:sz w:val="4"/>
                <w:szCs w:val="4"/>
                <w:color w:val="auto"/>
              </w:rPr>
            </w:pPr>
          </w:p>
        </w:tc>
        <w:tc>
          <w:tcPr>
            <w:tcW w:w="840" w:type="dxa"/>
            <w:vAlign w:val="bottom"/>
            <w:gridSpan w:val="2"/>
            <w:vMerge w:val="restart"/>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Common</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restart"/>
          </w:tcPr>
          <w:p>
            <w:pPr>
              <w:ind w:left="4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40" w:type="dxa"/>
            <w:vAlign w:val="bottom"/>
            <w:vMerge w:val="restart"/>
          </w:tcPr>
          <w:p>
            <w:pPr>
              <w:spacing w:after="0"/>
              <w:rPr>
                <w:sz w:val="4"/>
                <w:szCs w:val="4"/>
                <w:color w:val="auto"/>
              </w:rPr>
            </w:pPr>
          </w:p>
        </w:tc>
        <w:tc>
          <w:tcPr>
            <w:tcW w:w="1120" w:type="dxa"/>
            <w:vAlign w:val="bottom"/>
            <w:gridSpan w:val="4"/>
            <w:vMerge w:val="restart"/>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vMerge w:val="restart"/>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03"/>
        </w:trPr>
        <w:tc>
          <w:tcPr>
            <w:tcW w:w="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1,213.3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4,262.7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(93.7)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51.6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(4,421.1)</w:t>
            </w:r>
          </w:p>
        </w:tc>
        <w:tc>
          <w:tcPr>
            <w:tcW w:w="80" w:type="dxa"/>
            <w:vAlign w:val="bottom"/>
          </w:tcPr>
          <w:p>
            <w:pPr>
              <w:spacing w:after="0"/>
              <w:rPr>
                <w:sz w:val="17"/>
                <w:szCs w:val="17"/>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-138430</wp:posOffset>
            </wp:positionV>
            <wp:extent cx="7074535" cy="144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4535" cy="14414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3540" w:space="720"/>
            <w:col w:w="6900"/>
          </w:cols>
          <w:pgMar w:left="360" w:top="884" w:right="37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663.4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663.4</w:t>
            </w:r>
          </w:p>
        </w:tc>
      </w:tr>
      <w:tr>
        <w:trPr>
          <w:trHeight w:val="217"/>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$3.75 per share</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w:t>
            </w:r>
          </w:p>
        </w:tc>
      </w:tr>
      <w:tr>
        <w:trPr>
          <w:trHeight w:val="210"/>
        </w:trPr>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164"/>
        </w:trPr>
        <w:tc>
          <w:tcPr>
            <w:tcW w:w="4240" w:type="dxa"/>
            <w:vAlign w:val="bottom"/>
            <w:shd w:val="clear" w:color="auto" w:fill="CCEEFF"/>
          </w:tcPr>
          <w:p>
            <w:pPr>
              <w:ind w:left="220"/>
              <w:spacing w:after="0" w:line="164"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r>
      <w:tr>
        <w:trPr>
          <w:trHeight w:val="210"/>
        </w:trPr>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w:t>
            </w:r>
          </w:p>
        </w:tc>
      </w:tr>
      <w:tr>
        <w:trPr>
          <w:trHeight w:val="217"/>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 Stock Purchase Program and other</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r>
      <w:tr>
        <w:trPr>
          <w:trHeight w:val="210"/>
        </w:trPr>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 in cash flow hedges</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10.8</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w:t>
            </w:r>
          </w:p>
        </w:tc>
      </w:tr>
      <w:tr>
        <w:trPr>
          <w:trHeight w:val="217"/>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210"/>
        </w:trPr>
        <w:tc>
          <w:tcPr>
            <w:tcW w:w="4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(348.6)</w:t>
            </w:r>
          </w:p>
        </w:tc>
      </w:tr>
      <w:tr>
        <w:trPr>
          <w:trHeight w:val="236"/>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2025</w:t>
            </w: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1,236.1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6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4,794.1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(4,767.4)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1,201.7</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884" w:right="37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99"/>
              </w:rPr>
              <w:t>For the Nine Months Ended September 30,</w:t>
            </w:r>
          </w:p>
        </w:tc>
      </w:tr>
      <w:tr>
        <w:trPr>
          <w:trHeight w:val="234"/>
        </w:trPr>
        <w:tc>
          <w:tcPr>
            <w:tcW w:w="79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10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663.4</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Gain on sale from previous dispositions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Dividends from affiliates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Provision for credit losses (gains)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Unrealized losses, net on derivative contracts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effects of acquisitions and divestitures: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49"/>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32"/>
        </w:trPr>
        <w:tc>
          <w:tcPr>
            <w:tcW w:w="79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42"/>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583.4</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351.7</w:t>
            </w:r>
          </w:p>
        </w:tc>
      </w:tr>
      <w:tr>
        <w:trPr>
          <w:trHeight w:val="24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r>
      <w:tr>
        <w:trPr>
          <w:trHeight w:val="237"/>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Acquisitions, net of cash</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proceeds from investments and other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(334.1)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(87.6)</w:t>
            </w:r>
          </w:p>
        </w:tc>
      </w:tr>
      <w:tr>
        <w:trPr>
          <w:trHeight w:val="24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 borrowings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677.1</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 payments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(520.1)</w:t>
            </w: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on debt arrangements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senior unsecured notes</w:t>
            </w:r>
          </w:p>
        </w:tc>
        <w:tc>
          <w:tcPr>
            <w:tcW w:w="5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Payments of deferred financing costs</w:t>
            </w:r>
          </w:p>
        </w:tc>
        <w:tc>
          <w:tcPr>
            <w:tcW w:w="5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2"/>
        </w:trPr>
        <w:tc>
          <w:tcPr>
            <w:tcW w:w="7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w:t>
            </w:r>
          </w:p>
        </w:tc>
      </w:tr>
      <w:tr>
        <w:trPr>
          <w:trHeight w:val="249"/>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34"/>
        </w:trPr>
        <w:tc>
          <w:tcPr>
            <w:tcW w:w="7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r>
      <w:tr>
        <w:trPr>
          <w:trHeight w:val="24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(233.6)</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(627.4)</w:t>
            </w:r>
          </w:p>
        </w:tc>
      </w:tr>
      <w:tr>
        <w:trPr>
          <w:trHeight w:val="225"/>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(363.3)</w:t>
            </w:r>
          </w:p>
        </w:tc>
      </w:tr>
      <w:tr>
        <w:trPr>
          <w:trHeight w:val="24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cash equivalents and restricted cash equivalents</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7"/>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10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415.1</w:t>
            </w:r>
          </w:p>
        </w:tc>
      </w:tr>
      <w:tr>
        <w:trPr>
          <w:trHeight w:val="26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52.9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5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437" w:right="3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 "our", "us", "LII" or the "Company" refer to Lennox International Inc. and its subsidiaries, unless the context requires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September 30, 2026, the accompanying unaudited Consolidated Statements of Operations, Comprehensive Income, and Stockholders' Equity for the three and nine months ended September 30, 2026 and 2025, and accompanying unaudited Consolidated Statements of Cash Flows for the nine months ended September 30, 2026 and 2025 should be read in conjunction with our audited consolidated financial statements and footnotes included in our Annual Report on Form 10-K for the year ended December 31, 2025.</w:t>
      </w:r>
    </w:p>
    <w:p>
      <w:pPr>
        <w:spacing w:after="0" w:line="208"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unaudited consolidated financial statements for all comparable prior periods presented have been retrospectively adjusted to reflect the prior-year change in method of accounting for certain inventories from last-in-first-out ("LIFO") to first-in, first-out ("FIFO").</w:t>
      </w:r>
    </w:p>
    <w:p>
      <w:pPr>
        <w:spacing w:after="0" w:line="189"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00" w:type="dxa"/>
            <w:vAlign w:val="bottom"/>
            <w:tcBorders>
              <w:bottom w:val="single" w:sz="8" w:color="CCEEFF"/>
            </w:tcBorders>
          </w:tcPr>
          <w:p>
            <w:pPr>
              <w:spacing w:after="0"/>
              <w:rPr>
                <w:sz w:val="18"/>
                <w:szCs w:val="18"/>
                <w:color w:val="auto"/>
              </w:rPr>
            </w:pP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or Services</w:t>
            </w:r>
          </w:p>
        </w:tc>
        <w:tc>
          <w:tcPr>
            <w:tcW w:w="120" w:type="dxa"/>
            <w:vAlign w:val="bottom"/>
            <w:tcBorders>
              <w:bottom w:val="single" w:sz="8" w:color="CCEEFF"/>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Markets Served</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Areas</w:t>
            </w:r>
          </w:p>
        </w:tc>
      </w:tr>
      <w:tr>
        <w:trPr>
          <w:trHeight w:val="183"/>
        </w:trPr>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Home Comfort Solutions</w:t>
            </w: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Replacement;</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Residential Parts and Supplies;</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replacement parts and supplies, water heaters</w:t>
            </w: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spacing w:after="0"/>
              <w:rPr>
                <w:sz w:val="20"/>
                <w:szCs w:val="20"/>
                <w:color w:val="auto"/>
              </w:rPr>
            </w:pPr>
          </w:p>
        </w:tc>
      </w:tr>
      <w:tr>
        <w:trPr>
          <w:trHeight w:val="187"/>
        </w:trPr>
        <w:tc>
          <w:tcPr>
            <w:tcW w:w="19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i w:val="1"/>
                <w:iCs w:val="1"/>
                <w:color w:val="auto"/>
              </w:rPr>
              <w:t>Building Climate</w:t>
            </w:r>
          </w:p>
        </w:tc>
        <w:tc>
          <w:tcPr>
            <w:tcW w:w="46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spacing w:after="0" w:line="187"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Solutions</w:t>
            </w: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Commercial Parts and Supplies;</w:t>
            </w: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heating and cooling equipment, variable refrigerant flow</w:t>
            </w:r>
          </w:p>
        </w:tc>
        <w:tc>
          <w:tcPr>
            <w:tcW w:w="288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Food Preservation; Non-Food</w:t>
            </w: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products, curb, curb adapters, drop box diffusers,</w:t>
            </w:r>
          </w:p>
        </w:tc>
        <w:tc>
          <w:tcPr>
            <w:tcW w:w="288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Industry; Cold Storage and Light</w:t>
            </w:r>
          </w:p>
        </w:tc>
        <w:tc>
          <w:tcPr>
            <w:tcW w:w="1720" w:type="dxa"/>
            <w:vAlign w:val="bottom"/>
          </w:tcPr>
          <w:p>
            <w:pPr>
              <w:spacing w:after="0"/>
              <w:rPr>
                <w:sz w:val="15"/>
                <w:szCs w:val="15"/>
                <w:color w:val="auto"/>
              </w:rPr>
            </w:pPr>
          </w:p>
        </w:tc>
      </w:tr>
      <w:tr>
        <w:trPr>
          <w:trHeight w:val="182"/>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HVAC recycling and salvage service, condensing units, unit</w:t>
            </w:r>
          </w:p>
        </w:tc>
        <w:tc>
          <w:tcPr>
            <w:tcW w:w="28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Industrial</w:t>
            </w:r>
          </w:p>
        </w:tc>
        <w:tc>
          <w:tcPr>
            <w:tcW w:w="1720" w:type="dxa"/>
            <w:vAlign w:val="bottom"/>
          </w:tcPr>
          <w:p>
            <w:pPr>
              <w:spacing w:after="0"/>
              <w:rPr>
                <w:sz w:val="15"/>
                <w:szCs w:val="15"/>
                <w:color w:val="auto"/>
              </w:rPr>
            </w:pPr>
          </w:p>
        </w:tc>
      </w:tr>
      <w:tr>
        <w:trPr>
          <w:trHeight w:val="178"/>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coolers, fluid coolers, air cooled condensers, air handlers,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73"/>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6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process chillers, controls, compressorized racks, replacement</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32"/>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32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interest and income taxes included in the accompanying Consolidated Statements of Operations, excluding certain items. The reconciliation in the table below details the items excluded.</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chief operating decision maker uses segment profit or loss from operations, excluding certain items, to allocate resources (including employees, financial, or capital resources) for each segment predominantly in the annual budget and forecasting process. The chief operating decision maker considers budget-to-actual variances in segment profit or loss on a monthly basis when evaluating segment performance and making decisions about allocating resources to the segments.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chief operating decision maker is Alok Maskara, Chief Executive Officer.</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Key financial information for each segment is shown below (in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Home Comfort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Building Climate</w:t>
            </w:r>
          </w:p>
        </w:tc>
        <w:tc>
          <w:tcPr>
            <w:tcW w:w="3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3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1,572.5</w:t>
            </w: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40"/>
        </w:trPr>
        <w:tc>
          <w:tcPr>
            <w:tcW w:w="6380" w:type="dxa"/>
            <w:vAlign w:val="bottom"/>
            <w:tcBorders>
              <w:bottom w:val="single" w:sz="8" w:color="CCEEFF"/>
            </w:tcBorders>
          </w:tcPr>
          <w:p>
            <w:pPr>
              <w:ind w:left="140"/>
              <w:spacing w:after="0" w:line="240"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160"/>
        </w:trPr>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line="240"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6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638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6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160"/>
        </w:trPr>
        <w:tc>
          <w:tcPr>
            <w:tcW w:w="6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Home Comfort</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Building Climate</w:t>
            </w:r>
          </w:p>
        </w:tc>
        <w:tc>
          <w:tcPr>
            <w:tcW w:w="3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30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4,252.9</w:t>
            </w: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40"/>
        </w:trPr>
        <w:tc>
          <w:tcPr>
            <w:tcW w:w="6380" w:type="dxa"/>
            <w:vAlign w:val="bottom"/>
            <w:tcBorders>
              <w:bottom w:val="single" w:sz="8" w:color="CCEEFF"/>
            </w:tcBorders>
          </w:tcPr>
          <w:p>
            <w:pPr>
              <w:ind w:left="140"/>
              <w:spacing w:after="0" w:line="240"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140"/>
              <w:spacing w:after="0" w:line="233" w:lineRule="exact"/>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0" w:type="dxa"/>
            <w:vAlign w:val="bottom"/>
          </w:tcPr>
          <w:p>
            <w:pPr>
              <w:spacing w:after="0"/>
              <w:rPr>
                <w:sz w:val="1"/>
                <w:szCs w:val="1"/>
                <w:color w:val="auto"/>
              </w:rPr>
            </w:pPr>
          </w:p>
        </w:tc>
      </w:tr>
      <w:tr>
        <w:trPr>
          <w:trHeight w:val="160"/>
        </w:trPr>
        <w:tc>
          <w:tcPr>
            <w:tcW w:w="6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Nine months ended September 30, 2025</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line="240"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w:t>
            </w:r>
          </w:p>
        </w:tc>
        <w:tc>
          <w:tcPr>
            <w:tcW w:w="16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2,652.8</w:t>
            </w:r>
          </w:p>
        </w:tc>
        <w:tc>
          <w:tcPr>
            <w:tcW w:w="0" w:type="dxa"/>
            <w:vAlign w:val="bottom"/>
          </w:tcPr>
          <w:p>
            <w:pPr>
              <w:spacing w:after="0"/>
              <w:rPr>
                <w:sz w:val="1"/>
                <w:szCs w:val="1"/>
                <w:color w:val="auto"/>
              </w:rPr>
            </w:pPr>
          </w:p>
        </w:tc>
      </w:tr>
      <w:tr>
        <w:trPr>
          <w:trHeight w:val="24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0" w:type="dxa"/>
            <w:vAlign w:val="bottom"/>
          </w:tcPr>
          <w:p>
            <w:pPr>
              <w:spacing w:after="0"/>
              <w:rPr>
                <w:sz w:val="1"/>
                <w:szCs w:val="1"/>
                <w:color w:val="auto"/>
              </w:rPr>
            </w:pPr>
          </w:p>
        </w:tc>
      </w:tr>
      <w:tr>
        <w:trPr>
          <w:trHeight w:val="240"/>
        </w:trPr>
        <w:tc>
          <w:tcPr>
            <w:tcW w:w="6380" w:type="dxa"/>
            <w:vAlign w:val="bottom"/>
            <w:shd w:val="clear" w:color="auto" w:fill="CCEEFF"/>
          </w:tcPr>
          <w:p>
            <w:pPr>
              <w:ind w:left="140"/>
              <w:spacing w:after="0" w:line="240" w:lineRule="exact"/>
              <w:rPr>
                <w:sz w:val="20"/>
                <w:szCs w:val="20"/>
                <w:color w:val="auto"/>
              </w:rPr>
            </w:pPr>
            <w:r>
              <w:rPr>
                <w:rFonts w:ascii="Times New Roman" w:cs="Times New Roman" w:eastAsia="Times New Roman" w:hAnsi="Times New Roman"/>
                <w:sz w:val="18"/>
                <w:szCs w:val="18"/>
                <w:color w:val="auto"/>
              </w:rPr>
              <w:t>Other (income)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302"/>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Segment profit</w:t>
            </w:r>
            <w:r>
              <w:rPr>
                <w:rFonts w:ascii="Times New Roman" w:cs="Times New Roman" w:eastAsia="Times New Roman" w:hAnsi="Times New Roman"/>
                <w:sz w:val="23"/>
                <w:szCs w:val="23"/>
                <w:b w:val="1"/>
                <w:bCs w:val="1"/>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60" w:type="dxa"/>
            <w:vAlign w:val="bottom"/>
          </w:tcPr>
          <w:p>
            <w:pPr>
              <w:spacing w:after="0"/>
              <w:rPr>
                <w:sz w:val="24"/>
                <w:szCs w:val="24"/>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a consolidated basis, no revenue from transactions with a single customer was 10% or greater of our consolidated net sales for any of the periods presented.</w:t>
      </w:r>
    </w:p>
    <w:p>
      <w:pPr>
        <w:spacing w:after="0" w:line="208" w:lineRule="exact"/>
        <w:rPr>
          <w:rFonts w:ascii="Times New Roman" w:cs="Times New Roman" w:eastAsia="Times New Roman" w:hAnsi="Times New Roman"/>
          <w:sz w:val="19"/>
          <w:szCs w:val="19"/>
          <w:color w:val="auto"/>
          <w:vertAlign w:val="superscript"/>
        </w:rPr>
      </w:pPr>
    </w:p>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(income) expense is primarily comprised of income from equity method investments and (gains) losses and other expenses, net.</w:t>
      </w:r>
    </w:p>
    <w:p>
      <w:pPr>
        <w:spacing w:after="0" w:line="208" w:lineRule="exact"/>
        <w:rPr>
          <w:rFonts w:ascii="Times New Roman" w:cs="Times New Roman" w:eastAsia="Times New Roman" w:hAnsi="Times New Roman"/>
          <w:sz w:val="19"/>
          <w:szCs w:val="19"/>
          <w:color w:val="auto"/>
          <w:vertAlign w:val="superscript"/>
        </w:rPr>
      </w:pPr>
    </w:p>
    <w:p>
      <w:pPr>
        <w:ind w:left="400" w:hanging="153"/>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segment profit as a segment's operating income included in the accompanying Consolidated Statements of Operations, excluding:</w:t>
      </w:r>
    </w:p>
    <w:p>
      <w:pPr>
        <w:spacing w:after="0" w:line="9" w:lineRule="exact"/>
        <w:rPr>
          <w:rFonts w:ascii="Times New Roman" w:cs="Times New Roman" w:eastAsia="Times New Roman" w:hAnsi="Times New Roman"/>
          <w:sz w:val="19"/>
          <w:szCs w:val="19"/>
          <w:color w:val="auto"/>
          <w:vertAlign w:val="superscript"/>
        </w:rPr>
      </w:pP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charges,</w:t>
      </w:r>
    </w:p>
    <w:p>
      <w:pPr>
        <w:spacing w:after="0" w:line="2"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(gain) on sale from previous dispositions,</w:t>
      </w:r>
    </w:p>
    <w:p>
      <w:pPr>
        <w:spacing w:after="0" w:line="6"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litigation charges, and</w:t>
      </w:r>
    </w:p>
    <w:p>
      <w:pPr>
        <w:spacing w:after="0" w:line="12"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reconciliations  of  segment  profit  to  Operating  income  and  Net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income</w:t>
            </w:r>
          </w:p>
        </w:tc>
        <w:tc>
          <w:tcPr>
            <w:tcW w:w="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before</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taxes  are</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5"/>
              </w:rPr>
              <w:t>presented</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millions):</w:t>
            </w:r>
          </w:p>
        </w:tc>
      </w:tr>
      <w:tr>
        <w:trPr>
          <w:trHeight w:val="26"/>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r>
      <w:tr>
        <w:trPr>
          <w:trHeight w:val="173"/>
        </w:trPr>
        <w:tc>
          <w:tcPr>
            <w:tcW w:w="5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60" w:type="dxa"/>
            <w:vAlign w:val="bottom"/>
            <w:gridSpan w:val="6"/>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60" w:type="dxa"/>
            <w:vAlign w:val="bottom"/>
            <w:shd w:val="clear" w:color="auto" w:fill="CCEEFF"/>
          </w:tcPr>
          <w:p>
            <w:pPr>
              <w:spacing w:after="0"/>
              <w:rPr>
                <w:sz w:val="15"/>
                <w:szCs w:val="15"/>
                <w:color w:val="auto"/>
              </w:rPr>
            </w:pPr>
          </w:p>
        </w:tc>
        <w:tc>
          <w:tcPr>
            <w:tcW w:w="2460" w:type="dxa"/>
            <w:vAlign w:val="bottom"/>
            <w:gridSpan w:val="5"/>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For the Nine Months Ended</w:t>
            </w:r>
          </w:p>
        </w:tc>
      </w:tr>
      <w:tr>
        <w:trPr>
          <w:trHeight w:val="212"/>
        </w:trPr>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4"/>
            <w:shd w:val="clear" w:color="auto" w:fill="CCEEFF"/>
          </w:tcPr>
          <w:p>
            <w:pPr>
              <w:jc w:val="center"/>
              <w:ind w:left="2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shd w:val="clear" w:color="auto" w:fill="CCEEFF"/>
          </w:tcPr>
          <w:p>
            <w:pPr>
              <w:spacing w:after="0"/>
              <w:rPr>
                <w:sz w:val="18"/>
                <w:szCs w:val="18"/>
                <w:color w:val="auto"/>
              </w:rPr>
            </w:pPr>
          </w:p>
        </w:tc>
      </w:tr>
      <w:tr>
        <w:trPr>
          <w:trHeight w:val="219"/>
        </w:trPr>
        <w:tc>
          <w:tcPr>
            <w:tcW w:w="58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36"/>
        </w:trPr>
        <w:tc>
          <w:tcPr>
            <w:tcW w:w="588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Total segment profit</w:t>
            </w:r>
            <w:r>
              <w:rPr>
                <w:rFonts w:ascii="Times New Roman" w:cs="Times New Roman" w:eastAsia="Times New Roman" w:hAnsi="Times New Roman"/>
                <w:sz w:val="23"/>
                <w:szCs w:val="23"/>
                <w:b w:val="1"/>
                <w:bCs w:val="1"/>
                <w:color w:val="auto"/>
                <w:vertAlign w:val="superscript"/>
              </w:rPr>
              <w:t>(1)</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64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901.4</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58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Corporate and other expenses</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4"/>
        </w:trPr>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8"/>
              </w:rPr>
              <w:t>Total segment profit, including unallocated Corporate and other expenses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841.8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r>
      <w:tr>
        <w:trPr>
          <w:trHeight w:val="2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8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Special litigation charges</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80" w:type="dxa"/>
            <w:vAlign w:val="bottom"/>
            <w:tcBorders>
              <w:bottom w:val="single" w:sz="8" w:color="CCEEFF"/>
            </w:tcBorders>
          </w:tcPr>
          <w:p>
            <w:pPr>
              <w:ind w:left="20"/>
              <w:spacing w:after="0" w:line="240" w:lineRule="exact"/>
              <w:rPr>
                <w:sz w:val="20"/>
                <w:szCs w:val="20"/>
                <w:color w:val="auto"/>
              </w:rPr>
            </w:pPr>
            <w:r>
              <w:rPr>
                <w:rFonts w:ascii="Times New Roman" w:cs="Times New Roman" w:eastAsia="Times New Roman" w:hAnsi="Times New Roman"/>
                <w:sz w:val="18"/>
                <w:szCs w:val="18"/>
                <w:color w:val="auto"/>
              </w:rPr>
              <w:t>Acquisition costs</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830.6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net income before income taxes: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4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4"/>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293.3</w:t>
            </w: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317.4</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779.8</w:t>
            </w:r>
          </w:p>
        </w:tc>
        <w:tc>
          <w:tcPr>
            <w:tcW w:w="14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818.2</w:t>
            </w: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153"/>
        <w:spacing w:after="0"/>
        <w:tabs>
          <w:tab w:leader="none" w:pos="4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define segment profit as a segment's operating income (loss) included in the accompanying Consolidated Statements of Operations, excluding:</w:t>
      </w:r>
    </w:p>
    <w:p>
      <w:pPr>
        <w:ind w:left="640" w:hanging="233"/>
        <w:spacing w:after="0"/>
        <w:tabs>
          <w:tab w:leader="none" w:pos="6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charges,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 w:name="page12"/>
    <w:bookmarkEnd w:id="11"/>
    <w:p>
      <w:pPr>
        <w:ind w:left="640" w:hanging="233"/>
        <w:spacing w:after="0"/>
        <w:tabs>
          <w:tab w:leader="none" w:pos="6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sale from previous dispositions,</w:t>
      </w:r>
    </w:p>
    <w:p>
      <w:pPr>
        <w:spacing w:after="0" w:line="20"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litigation charges, and</w:t>
      </w:r>
    </w:p>
    <w:p>
      <w:pPr>
        <w:spacing w:after="0" w:line="6" w:lineRule="exact"/>
        <w:rPr>
          <w:rFonts w:ascii="Times New Roman" w:cs="Times New Roman" w:eastAsia="Times New Roman" w:hAnsi="Times New Roman"/>
          <w:sz w:val="16"/>
          <w:szCs w:val="16"/>
          <w:color w:val="auto"/>
        </w:rPr>
      </w:pPr>
    </w:p>
    <w:p>
      <w:pPr>
        <w:ind w:left="640" w:hanging="233"/>
        <w:spacing w:after="0"/>
        <w:tabs>
          <w:tab w:leader="none" w:pos="64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costs.</w:t>
      </w:r>
    </w:p>
    <w:p>
      <w:pPr>
        <w:spacing w:after="0" w:line="12" w:lineRule="exact"/>
        <w:rPr>
          <w:rFonts w:ascii="Times New Roman" w:cs="Times New Roman" w:eastAsia="Times New Roman" w:hAnsi="Times New Roman"/>
          <w:sz w:val="16"/>
          <w:szCs w:val="16"/>
          <w:color w:val="auto"/>
        </w:rPr>
      </w:pPr>
    </w:p>
    <w:p>
      <w:pPr>
        <w:ind w:left="400" w:hanging="153"/>
        <w:spacing w:after="0" w:line="209" w:lineRule="auto"/>
        <w:tabs>
          <w:tab w:leader="none" w:pos="40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Recorded in Losses (gains) and other expenses, net in the accompanying Consolidated Statements of Operations.</w:t>
      </w:r>
    </w:p>
    <w:p>
      <w:pPr>
        <w:spacing w:after="0" w:line="232" w:lineRule="exact"/>
        <w:rPr>
          <w:rFonts w:ascii="Times New Roman" w:cs="Times New Roman" w:eastAsia="Times New Roman" w:hAnsi="Times New Roman"/>
          <w:sz w:val="19"/>
          <w:szCs w:val="19"/>
          <w:color w:val="auto"/>
          <w:vertAlign w:val="superscript"/>
        </w:rPr>
      </w:pPr>
    </w:p>
    <w:p>
      <w:pPr>
        <w:ind w:left="400" w:hanging="153"/>
        <w:spacing w:after="0"/>
        <w:tabs>
          <w:tab w:leader="none" w:pos="387"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Corporate and other expenses include unallocated corporate costs related to corporate administrative functions such as tax, treasury, accounting, internal audit, legal and human resources.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 by segment are shown below (in millions) as of:</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0"/>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2,375.2</w:t>
            </w:r>
          </w:p>
        </w:tc>
        <w:tc>
          <w:tcPr>
            <w:tcW w:w="16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w:t>
            </w:r>
          </w:p>
        </w:tc>
      </w:tr>
      <w:tr>
        <w:trPr>
          <w:trHeight w:val="24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r>
      <w:tr>
        <w:trPr>
          <w:trHeight w:val="234"/>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from reportable segments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4,279.9</w:t>
            </w:r>
          </w:p>
        </w:tc>
        <w:tc>
          <w:tcPr>
            <w:tcW w:w="16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3,717.4</w:t>
            </w:r>
          </w:p>
        </w:tc>
      </w:tr>
      <w:tr>
        <w:trPr>
          <w:trHeight w:val="24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34"/>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4,689.3</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4,081.8</w:t>
            </w:r>
          </w:p>
        </w:tc>
      </w:tr>
      <w:tr>
        <w:trPr>
          <w:trHeight w:val="20"/>
        </w:trPr>
        <w:tc>
          <w:tcPr>
            <w:tcW w:w="7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assets in the Corporate and Other primarily consist of cash, property, plant and equipment, short-term investments, and deferred tax assets. Assets recorded in the operating segments represent those assets directly associated with those segments.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capital expenditures by segment are shown below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300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4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30,</w:t>
            </w: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30,</w:t>
            </w:r>
          </w:p>
        </w:tc>
        <w:tc>
          <w:tcPr>
            <w:tcW w:w="1080" w:type="dxa"/>
            <w:vAlign w:val="bottom"/>
            <w:tcBorders>
              <w:bottom w:val="single" w:sz="8" w:color="auto"/>
            </w:tcBorders>
          </w:tcPr>
          <w:p>
            <w:pPr>
              <w:spacing w:after="0"/>
              <w:rPr>
                <w:sz w:val="18"/>
                <w:szCs w:val="18"/>
                <w:color w:val="auto"/>
              </w:rPr>
            </w:pPr>
          </w:p>
        </w:tc>
      </w:tr>
      <w:tr>
        <w:trPr>
          <w:trHeight w:val="219"/>
        </w:trPr>
        <w:tc>
          <w:tcPr>
            <w:tcW w:w="54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4"/>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 from reportable segments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4"/>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0"/>
        </w:trPr>
        <w:tc>
          <w:tcPr>
            <w:tcW w:w="5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 by segment are shown below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2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20" w:type="dxa"/>
            <w:vAlign w:val="bottom"/>
          </w:tcPr>
          <w:p>
            <w:pPr>
              <w:spacing w:after="0"/>
              <w:rPr>
                <w:sz w:val="16"/>
                <w:szCs w:val="16"/>
                <w:color w:val="auto"/>
              </w:rPr>
            </w:pPr>
          </w:p>
        </w:tc>
        <w:tc>
          <w:tcPr>
            <w:tcW w:w="234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19"/>
        </w:trPr>
        <w:tc>
          <w:tcPr>
            <w:tcW w:w="56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from reportable segments</w:t>
            </w:r>
          </w:p>
        </w:tc>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4"/>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color w:val="auto"/>
        </w:rPr>
        <w:t>The income from equity method investments is shown below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30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20" w:type="dxa"/>
            <w:vAlign w:val="bottom"/>
          </w:tcPr>
          <w:p>
            <w:pPr>
              <w:spacing w:after="0"/>
              <w:rPr>
                <w:sz w:val="16"/>
                <w:szCs w:val="16"/>
                <w:color w:val="auto"/>
              </w:rPr>
            </w:pPr>
          </w:p>
        </w:tc>
        <w:tc>
          <w:tcPr>
            <w:tcW w:w="234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19"/>
        </w:trPr>
        <w:tc>
          <w:tcPr>
            <w:tcW w:w="56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Equity Method Investments:</w:t>
            </w: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2.4</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4.8</w:t>
            </w:r>
          </w:p>
        </w:tc>
      </w:tr>
      <w:tr>
        <w:trPr>
          <w:trHeight w:val="24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9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0.3</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5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income from equity method investments from reportable segments</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2.7</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5.9</w:t>
            </w:r>
          </w:p>
        </w:tc>
      </w:tr>
      <w:tr>
        <w:trPr>
          <w:trHeight w:val="24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8"/>
              </w:rPr>
              <w:t>(0.2)</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8"/>
              </w:rPr>
              <w:t>(0.1)</w:t>
            </w:r>
          </w:p>
        </w:tc>
      </w:tr>
      <w:tr>
        <w:trPr>
          <w:trHeight w:val="234"/>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income from equity method investments</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7"/>
              </w:rPr>
              <w:t>2.5</w:t>
            </w:r>
          </w:p>
        </w:tc>
        <w:tc>
          <w:tcPr>
            <w:tcW w:w="1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5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Property, plant and equipment, net for each major geographic area in which we operate, based on the domicile of our operations, are shown below (in millions) as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2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w:t>
            </w:r>
          </w:p>
        </w:tc>
      </w:tr>
      <w:tr>
        <w:trPr>
          <w:trHeight w:val="24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4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7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20" w:type="dxa"/>
            <w:vAlign w:val="bottom"/>
            <w:tcBorders>
              <w:bottom w:val="single" w:sz="8" w:color="auto"/>
            </w:tcBorders>
          </w:tcPr>
          <w:p>
            <w:pPr>
              <w:spacing w:after="0"/>
              <w:rPr>
                <w:sz w:val="18"/>
                <w:szCs w:val="18"/>
                <w:color w:val="auto"/>
              </w:rPr>
            </w:pPr>
          </w:p>
        </w:tc>
      </w:tr>
      <w:tr>
        <w:trPr>
          <w:trHeight w:val="219"/>
        </w:trPr>
        <w:tc>
          <w:tcPr>
            <w:tcW w:w="55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221.2</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663.4</w:t>
            </w:r>
          </w:p>
        </w:tc>
      </w:tr>
      <w:tr>
        <w:trPr>
          <w:trHeight w:val="267"/>
        </w:trPr>
        <w:tc>
          <w:tcPr>
            <w:tcW w:w="5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4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w:t>
            </w:r>
          </w:p>
        </w:tc>
      </w:tr>
      <w:tr>
        <w:trPr>
          <w:trHeight w:val="195"/>
        </w:trPr>
        <w:tc>
          <w:tcPr>
            <w:tcW w:w="55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Add: Potential effect of dilutive securities attributable to stock-based</w:t>
            </w: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8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0"/>
        </w:trPr>
        <w:tc>
          <w:tcPr>
            <w:tcW w:w="5520" w:type="dxa"/>
            <w:vAlign w:val="bottom"/>
            <w:shd w:val="clear" w:color="auto" w:fill="CCEEFF"/>
          </w:tcPr>
          <w:p>
            <w:pPr>
              <w:ind w:left="220"/>
              <w:spacing w:after="0" w:line="240" w:lineRule="exact"/>
              <w:rPr>
                <w:sz w:val="20"/>
                <w:szCs w:val="20"/>
                <w:color w:val="auto"/>
              </w:rPr>
            </w:pPr>
            <w:r>
              <w:rPr>
                <w:rFonts w:ascii="Times New Roman" w:cs="Times New Roman" w:eastAsia="Times New Roman" w:hAnsi="Times New Roman"/>
                <w:sz w:val="18"/>
                <w:szCs w:val="18"/>
                <w:color w:val="auto"/>
              </w:rPr>
              <w:t>Earnings per share – Basic</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0"/>
        </w:trPr>
        <w:tc>
          <w:tcPr>
            <w:tcW w:w="5520" w:type="dxa"/>
            <w:vAlign w:val="bottom"/>
            <w:shd w:val="clear" w:color="auto" w:fill="CCEEFF"/>
          </w:tcPr>
          <w:p>
            <w:pPr>
              <w:ind w:left="220"/>
              <w:spacing w:after="0" w:line="240" w:lineRule="exact"/>
              <w:rPr>
                <w:sz w:val="20"/>
                <w:szCs w:val="20"/>
                <w:color w:val="auto"/>
              </w:rPr>
            </w:pPr>
            <w:r>
              <w:rPr>
                <w:rFonts w:ascii="Times New Roman" w:cs="Times New Roman" w:eastAsia="Times New Roman" w:hAnsi="Times New Roman"/>
                <w:sz w:val="18"/>
                <w:szCs w:val="18"/>
                <w:color w:val="auto"/>
              </w:rPr>
              <w:t>Earnings per share – Diluted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4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00" w:hanging="153"/>
        <w:spacing w:after="0"/>
        <w:tabs>
          <w:tab w:leader="none" w:pos="4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may not recalculate due to rounding.</w:t>
      </w:r>
    </w:p>
    <w:p>
      <w:pPr>
        <w:spacing w:after="0" w:line="214" w:lineRule="exact"/>
        <w:rPr>
          <w:sz w:val="20"/>
          <w:szCs w:val="20"/>
          <w:color w:val="auto"/>
        </w:rPr>
      </w:pPr>
    </w:p>
    <w:p>
      <w:pPr>
        <w:ind w:firstLine="160"/>
        <w:spacing w:after="0" w:line="277"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there were no material stock appreciation rights or restricted stock units outstanding that were not included in the diluted earnings per share calculation as the assumed exercise of such rights would have been anti-dilutive.</w:t>
      </w:r>
    </w:p>
    <w:p>
      <w:pPr>
        <w:sectPr>
          <w:pgSz w:w="11900" w:h="16838" w:orient="portrait"/>
          <w:cols w:equalWidth="0" w:num="1">
            <w:col w:w="11240"/>
          </w:cols>
          <w:pgMar w:left="320" w:top="8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5"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of a lease under Accounting Standards Codification ("ASC") 842 and therefore are accounted for under ASC 842.</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82% of our right-of-use assets and lease liabilities relate to our leases of real estate with the remaining amounts primarily relating to our leases of IT equipment, fleet vehicles and manufacturing and distribution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Liabilities for estimated product warranty costs are included in the following captions on the accompanying Consolidated Balance Sheets (in millions)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7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4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59"/>
        </w:trPr>
        <w:tc>
          <w:tcPr>
            <w:tcW w:w="7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441"/>
        </w:trPr>
        <w:tc>
          <w:tcPr>
            <w:tcW w:w="9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for the nine months ended September 30, 2026 were as follows (in millions):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6"/>
        </w:trPr>
        <w:tc>
          <w:tcPr>
            <w:tcW w:w="7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2025</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r>
      <w:tr>
        <w:trPr>
          <w:trHeight w:val="24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4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40"/>
        </w:trPr>
        <w:tc>
          <w:tcPr>
            <w:tcW w:w="7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September 30, 2026</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r>
      <w:tr>
        <w:trPr>
          <w:trHeight w:val="20"/>
        </w:trPr>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Antitrust Class Actions</w:t>
      </w:r>
    </w:p>
    <w:p>
      <w:pPr>
        <w:spacing w:after="0" w:line="249"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8"/>
          <w:szCs w:val="18"/>
          <w:color w:val="auto"/>
        </w:rPr>
        <w:t>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 On July 10, 2026, the plaintiffs filed three amended, consolidated class-action complaints.</w:t>
      </w:r>
    </w:p>
    <w:p>
      <w:pPr>
        <w:spacing w:after="0" w:line="220"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spacing w:after="0" w:line="20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Litigation</w:t>
      </w:r>
    </w:p>
    <w:p>
      <w:pPr>
        <w:spacing w:after="0" w:line="24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We are involved in a number of other claims and lawsuits incidental to the operation of our businesses. Insurance coverages are maintained and estimated costs are recorded for such claims and lawsuits, including costs to settle other claims and lawsuits, based on experience involving similar matters and specific facts known.</w:t>
      </w:r>
    </w:p>
    <w:p>
      <w:pPr>
        <w:spacing w:after="0" w:line="203"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Our Board of Directors has authorized a total of $5.0 billion to repurchase shares of our common stock (collectively referred to as the "Share Repurchase Plans"), including a $1.0 billion share repurchase authorization in May 2025. The Share Repurchase Plans allow us to repurchase shares from time to time in open market transactions and in privately negotiated transactions based on business, market, applicable legal requirements and other considerations. Such repurchases may also be made in compliance with Rule 10b5-1 trading plans entered into by us, which would permit common stock to be repurchased when we might otherwise be precluded from doing so under insider trading laws or self-imposed trading restrictions. The Share Repurchase Plans do not require the repurchase of a specific number of shares and may be terminated at any time. As of September 30, 2026, $707.7 million was available for repurchase under the Share Repurchase Plans.</w:t>
      </w:r>
    </w:p>
    <w:p>
      <w:pPr>
        <w:spacing w:after="0" w:line="21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For the three and nine months ended September 30, 2026, we repurchased 354,046 and 653,673 shares, at an aggregate cost, inclusive of fees, of $150.0 million and $301.9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7"/>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580" w:type="dxa"/>
            <w:vAlign w:val="bottom"/>
            <w:tcBorders>
              <w:bottom w:val="single" w:sz="8" w:color="auto"/>
            </w:tcBorders>
            <w:shd w:val="clear" w:color="auto" w:fill="CCEEFF"/>
          </w:tcPr>
          <w:p>
            <w:pPr>
              <w:spacing w:after="0"/>
              <w:rPr>
                <w:sz w:val="19"/>
                <w:szCs w:val="19"/>
                <w:color w:val="auto"/>
              </w:rPr>
            </w:pPr>
          </w:p>
        </w:tc>
        <w:tc>
          <w:tcPr>
            <w:tcW w:w="4960" w:type="dxa"/>
            <w:vAlign w:val="bottom"/>
            <w:tcBorders>
              <w:bottom w:val="single" w:sz="8" w:color="auto"/>
            </w:tcBorders>
            <w:gridSpan w:val="7"/>
            <w:shd w:val="clear" w:color="auto" w:fill="CCEEFF"/>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2026</w:t>
            </w:r>
          </w:p>
        </w:tc>
        <w:tc>
          <w:tcPr>
            <w:tcW w:w="0" w:type="dxa"/>
            <w:vAlign w:val="bottom"/>
          </w:tcPr>
          <w:p>
            <w:pPr>
              <w:spacing w:after="0"/>
              <w:rPr>
                <w:sz w:val="1"/>
                <w:szCs w:val="1"/>
                <w:color w:val="auto"/>
              </w:rPr>
            </w:pPr>
          </w:p>
        </w:tc>
      </w:tr>
      <w:tr>
        <w:trPr>
          <w:trHeight w:val="167"/>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4"/>
                <w:szCs w:val="14"/>
                <w:color w:val="auto"/>
              </w:rPr>
            </w:pPr>
          </w:p>
        </w:tc>
        <w:tc>
          <w:tcPr>
            <w:tcW w:w="170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4"/>
                <w:szCs w:val="14"/>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5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635.3</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580" w:type="dxa"/>
            <w:vAlign w:val="bottom"/>
            <w:tcBorders>
              <w:bottom w:val="single" w:sz="8" w:color="auto"/>
            </w:tcBorders>
            <w:shd w:val="clear" w:color="auto" w:fill="CCEEFF"/>
          </w:tcPr>
          <w:p>
            <w:pPr>
              <w:spacing w:after="0"/>
              <w:rPr>
                <w:sz w:val="19"/>
                <w:szCs w:val="19"/>
                <w:color w:val="auto"/>
              </w:rPr>
            </w:pPr>
          </w:p>
        </w:tc>
        <w:tc>
          <w:tcPr>
            <w:tcW w:w="4960" w:type="dxa"/>
            <w:vAlign w:val="bottom"/>
            <w:tcBorders>
              <w:bottom w:val="single" w:sz="8" w:color="auto"/>
            </w:tcBorders>
            <w:gridSpan w:val="7"/>
            <w:shd w:val="clear" w:color="auto" w:fill="CCEEFF"/>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2025</w:t>
            </w: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4"/>
                <w:szCs w:val="14"/>
                <w:color w:val="auto"/>
              </w:rPr>
            </w:pPr>
          </w:p>
        </w:tc>
        <w:tc>
          <w:tcPr>
            <w:tcW w:w="170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4"/>
                <w:szCs w:val="14"/>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5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513.9</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580" w:type="dxa"/>
            <w:vAlign w:val="bottom"/>
            <w:tcBorders>
              <w:bottom w:val="single" w:sz="8" w:color="auto"/>
            </w:tcBorders>
            <w:shd w:val="clear" w:color="auto" w:fill="CCEEFF"/>
          </w:tcPr>
          <w:p>
            <w:pPr>
              <w:spacing w:after="0"/>
              <w:rPr>
                <w:sz w:val="19"/>
                <w:szCs w:val="19"/>
                <w:color w:val="auto"/>
              </w:rPr>
            </w:pPr>
          </w:p>
        </w:tc>
        <w:tc>
          <w:tcPr>
            <w:tcW w:w="4960" w:type="dxa"/>
            <w:vAlign w:val="bottom"/>
            <w:tcBorders>
              <w:bottom w:val="single" w:sz="8" w:color="auto"/>
            </w:tcBorders>
            <w:gridSpan w:val="7"/>
            <w:shd w:val="clear" w:color="auto" w:fill="CCEEFF"/>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2026</w:t>
            </w: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4"/>
                <w:szCs w:val="14"/>
                <w:color w:val="auto"/>
              </w:rPr>
            </w:pPr>
          </w:p>
        </w:tc>
        <w:tc>
          <w:tcPr>
            <w:tcW w:w="170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4"/>
                <w:szCs w:val="14"/>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5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1,730.1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580" w:type="dxa"/>
            <w:vAlign w:val="bottom"/>
            <w:tcBorders>
              <w:bottom w:val="single" w:sz="8" w:color="auto"/>
            </w:tcBorders>
            <w:shd w:val="clear" w:color="auto" w:fill="CCEEFF"/>
          </w:tcPr>
          <w:p>
            <w:pPr>
              <w:spacing w:after="0"/>
              <w:rPr>
                <w:sz w:val="19"/>
                <w:szCs w:val="19"/>
                <w:color w:val="auto"/>
              </w:rPr>
            </w:pPr>
          </w:p>
        </w:tc>
        <w:tc>
          <w:tcPr>
            <w:tcW w:w="4960" w:type="dxa"/>
            <w:vAlign w:val="bottom"/>
            <w:tcBorders>
              <w:bottom w:val="single" w:sz="8" w:color="auto"/>
            </w:tcBorders>
            <w:gridSpan w:val="7"/>
            <w:shd w:val="clear" w:color="auto" w:fill="CCEEFF"/>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2025</w:t>
            </w:r>
          </w:p>
        </w:tc>
        <w:tc>
          <w:tcPr>
            <w:tcW w:w="0" w:type="dxa"/>
            <w:vAlign w:val="bottom"/>
          </w:tcPr>
          <w:p>
            <w:pPr>
              <w:spacing w:after="0"/>
              <w:rPr>
                <w:sz w:val="1"/>
                <w:szCs w:val="1"/>
                <w:color w:val="auto"/>
              </w:rPr>
            </w:pPr>
          </w:p>
        </w:tc>
      </w:tr>
      <w:tr>
        <w:trPr>
          <w:trHeight w:val="16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Home Comfort Solutions</w:t>
            </w:r>
          </w:p>
        </w:tc>
        <w:tc>
          <w:tcPr>
            <w:tcW w:w="200" w:type="dxa"/>
            <w:vAlign w:val="bottom"/>
          </w:tcPr>
          <w:p>
            <w:pPr>
              <w:spacing w:after="0"/>
              <w:rPr>
                <w:sz w:val="14"/>
                <w:szCs w:val="14"/>
                <w:color w:val="auto"/>
              </w:rPr>
            </w:pPr>
          </w:p>
        </w:tc>
        <w:tc>
          <w:tcPr>
            <w:tcW w:w="1700" w:type="dxa"/>
            <w:vAlign w:val="bottom"/>
            <w:gridSpan w:val="2"/>
          </w:tcPr>
          <w:p>
            <w:pPr>
              <w:jc w:val="center"/>
              <w:ind w:right="320"/>
              <w:spacing w:after="0" w:line="170" w:lineRule="exact"/>
              <w:rPr>
                <w:sz w:val="20"/>
                <w:szCs w:val="20"/>
                <w:color w:val="auto"/>
              </w:rPr>
            </w:pPr>
            <w:r>
              <w:rPr>
                <w:rFonts w:ascii="Times New Roman" w:cs="Times New Roman" w:eastAsia="Times New Roman" w:hAnsi="Times New Roman"/>
                <w:sz w:val="16"/>
                <w:szCs w:val="16"/>
                <w:b w:val="1"/>
                <w:bCs w:val="1"/>
                <w:color w:val="auto"/>
              </w:rPr>
              <w:t>Building Climate</w:t>
            </w:r>
          </w:p>
        </w:tc>
        <w:tc>
          <w:tcPr>
            <w:tcW w:w="260" w:type="dxa"/>
            <w:vAlign w:val="bottom"/>
          </w:tcPr>
          <w:p>
            <w:pPr>
              <w:spacing w:after="0"/>
              <w:rPr>
                <w:sz w:val="14"/>
                <w:szCs w:val="14"/>
                <w:color w:val="auto"/>
              </w:rPr>
            </w:pPr>
          </w:p>
        </w:tc>
        <w:tc>
          <w:tcPr>
            <w:tcW w:w="150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5700" w:type="dxa"/>
            <w:vAlign w:val="bottom"/>
            <w:vMerge w:val="continue"/>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3,725.5</w:t>
            </w: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5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1,356.7</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Home Comfort Solutions </w:t>
      </w:r>
      <w:r>
        <w:rPr>
          <w:rFonts w:ascii="Times New Roman" w:cs="Times New Roman" w:eastAsia="Times New Roman" w:hAnsi="Times New Roman"/>
          <w:sz w:val="18"/>
          <w:szCs w:val="18"/>
          <w:color w:val="auto"/>
        </w:rPr>
        <w:t>- We manufacture and market a broad range of furnaces, air conditioners, heat pumps, packaged heating and cooling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2026 and 2025, direct sales represented 70% and 75% of revenues, respectively, and sales to independent distributors represented the remainder. For the nine months ended September 30, 2026 and 2025, direct sales represented 72% and 74% of revenues, respectively, and sales to independent distributors represented the remainder. Given the nature of our business, customer product orders are fulfilled at a point in time and not over a period of time.</w:t>
      </w:r>
    </w:p>
    <w:p>
      <w:pPr>
        <w:spacing w:after="0" w:line="209"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Building Climate Solutions </w:t>
      </w:r>
      <w:r>
        <w:rPr>
          <w:rFonts w:ascii="Times New Roman" w:cs="Times New Roman" w:eastAsia="Times New Roman" w:hAnsi="Times New Roman"/>
          <w:sz w:val="17"/>
          <w:szCs w:val="17"/>
          <w:color w:val="auto"/>
        </w:rPr>
        <w:t>- In North America, we manufacture and sell unitary heating and cooling equipment used in light commercial applications,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as low-rise 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We also provide installation, service and preventive maintenance for HVAC national account customers in the United States and Canada; manufacture curb, curb adapters, drop box diffusers; offer HVAC recycling and salvage services; and focus on multi-family HVAC replacement for expired mechanical assets. Revenue related to service contracts is recognized as the services are performed under the contract based on the relative fair value of the services provided. For the three months ended September 30, 2026 and 2025, equipment sales represented 82% and 80% of revenues, respectively, and the remainder of our revenue was generated from our service business. For the nine months ended September 30, 2026 and 2025, equipment sales represented 83% and 80% of revenues, respectively, and the remainder of our revenue was generated from our service business.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ind w:firstLine="2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 as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5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For the three months ended September 30, 2026 we recognized nominal revenues, for the three months ended September 30, 2025 we recognized $5.4 million, and for the nine months ended September 30, 2026 and 2025, we recognized revenue of $3.0 million and $8.5 million related to our contract liabilities at January 1, 2026 and 2025, respectively. Impairment losses recognized in our receivables and contract assets were de minimis in 2026 and 2025.</w:t>
      </w:r>
    </w:p>
    <w:p>
      <w:pPr>
        <w:spacing w:after="0" w:line="183" w:lineRule="exact"/>
        <w:rPr>
          <w:sz w:val="20"/>
          <w:szCs w:val="20"/>
          <w:color w:val="auto"/>
        </w:rPr>
      </w:pPr>
    </w:p>
    <w:p>
      <w:pPr>
        <w:ind w:right="8400" w:firstLine="7"/>
        <w:spacing w:after="0" w:line="260" w:lineRule="auto"/>
        <w:tabs>
          <w:tab w:leader="none" w:pos="17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spacing w:after="0" w:line="1"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 as of:</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0"/>
        </w:trPr>
        <w:tc>
          <w:tcPr>
            <w:tcW w:w="716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8"/>
                <w:szCs w:val="18"/>
                <w:color w:val="auto"/>
              </w:rPr>
              <w:t>Raw materials and parts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1,176.8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1,152.6</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400" w:hanging="153"/>
        <w:spacing w:after="0"/>
        <w:tabs>
          <w:tab w:leader="none" w:pos="4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Raw materials and parts includes materials for production and repair parts.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2026, in total and by segment, are summarized in the table below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300" w:type="dxa"/>
            <w:vAlign w:val="bottom"/>
          </w:tcPr>
          <w:p>
            <w:pPr>
              <w:spacing w:after="0"/>
              <w:rPr>
                <w:sz w:val="16"/>
                <w:szCs w:val="16"/>
                <w:color w:val="auto"/>
              </w:rPr>
            </w:pPr>
          </w:p>
        </w:tc>
        <w:tc>
          <w:tcPr>
            <w:tcW w:w="1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Goodwill from</w:t>
            </w:r>
          </w:p>
        </w:tc>
        <w:tc>
          <w:tcPr>
            <w:tcW w:w="160" w:type="dxa"/>
            <w:vAlign w:val="bottom"/>
          </w:tcPr>
          <w:p>
            <w:pPr>
              <w:spacing w:after="0"/>
              <w:rPr>
                <w:sz w:val="16"/>
                <w:szCs w:val="16"/>
                <w:color w:val="auto"/>
              </w:rPr>
            </w:pPr>
          </w:p>
        </w:tc>
        <w:tc>
          <w:tcPr>
            <w:tcW w:w="160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Balance as of</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300" w:type="dxa"/>
            <w:vAlign w:val="bottom"/>
          </w:tcPr>
          <w:p>
            <w:pPr>
              <w:spacing w:after="0"/>
              <w:rPr>
                <w:sz w:val="18"/>
                <w:szCs w:val="18"/>
                <w:color w:val="auto"/>
              </w:rPr>
            </w:pPr>
          </w:p>
        </w:tc>
        <w:tc>
          <w:tcPr>
            <w:tcW w:w="1660" w:type="dxa"/>
            <w:vAlign w:val="bottom"/>
            <w:gridSpan w:val="2"/>
          </w:tcPr>
          <w:p>
            <w:pPr>
              <w:ind w:left="200"/>
              <w:spacing w:after="0" w:line="213" w:lineRule="exact"/>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0"/>
                <w:szCs w:val="20"/>
                <w:b w:val="1"/>
                <w:bCs w:val="1"/>
                <w:color w:val="auto"/>
                <w:vertAlign w:val="superscript"/>
              </w:rPr>
              <w:t>(1)</w:t>
            </w:r>
          </w:p>
        </w:tc>
        <w:tc>
          <w:tcPr>
            <w:tcW w:w="140" w:type="dxa"/>
            <w:vAlign w:val="bottom"/>
          </w:tcPr>
          <w:p>
            <w:pPr>
              <w:spacing w:after="0"/>
              <w:rPr>
                <w:sz w:val="18"/>
                <w:szCs w:val="18"/>
                <w:color w:val="auto"/>
              </w:rPr>
            </w:pPr>
          </w:p>
        </w:tc>
        <w:tc>
          <w:tcPr>
            <w:tcW w:w="1320" w:type="dxa"/>
            <w:vAlign w:val="bottom"/>
            <w:gridSpan w:val="2"/>
          </w:tcPr>
          <w:p>
            <w:pPr>
              <w:jc w:val="center"/>
              <w:ind w:right="300"/>
              <w:spacing w:after="0" w:line="213" w:lineRule="exact"/>
              <w:rPr>
                <w:sz w:val="20"/>
                <w:szCs w:val="20"/>
                <w:color w:val="auto"/>
              </w:rPr>
            </w:pPr>
            <w:r>
              <w:rPr>
                <w:rFonts w:ascii="Times New Roman" w:cs="Times New Roman" w:eastAsia="Times New Roman" w:hAnsi="Times New Roman"/>
                <w:sz w:val="16"/>
                <w:szCs w:val="16"/>
                <w:b w:val="1"/>
                <w:bCs w:val="1"/>
                <w:color w:val="auto"/>
                <w:w w:val="95"/>
              </w:rPr>
              <w:t xml:space="preserve">acquisition </w:t>
            </w:r>
            <w:r>
              <w:rPr>
                <w:rFonts w:ascii="Times New Roman" w:cs="Times New Roman" w:eastAsia="Times New Roman" w:hAnsi="Times New Roman"/>
                <w:sz w:val="20"/>
                <w:szCs w:val="20"/>
                <w:b w:val="1"/>
                <w:bCs w:val="1"/>
                <w:color w:val="auto"/>
                <w:w w:val="95"/>
                <w:vertAlign w:val="superscript"/>
              </w:rPr>
              <w:t>(2)</w:t>
            </w:r>
          </w:p>
        </w:tc>
        <w:tc>
          <w:tcPr>
            <w:tcW w:w="160" w:type="dxa"/>
            <w:vAlign w:val="bottom"/>
          </w:tcPr>
          <w:p>
            <w:pPr>
              <w:spacing w:after="0"/>
              <w:rPr>
                <w:sz w:val="18"/>
                <w:szCs w:val="18"/>
                <w:color w:val="auto"/>
              </w:rPr>
            </w:pP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0" w:type="dxa"/>
            <w:vAlign w:val="bottom"/>
          </w:tcPr>
          <w:p>
            <w:pPr>
              <w:spacing w:after="0"/>
              <w:rPr>
                <w:sz w:val="1"/>
                <w:szCs w:val="1"/>
                <w:color w:val="auto"/>
              </w:rPr>
            </w:pPr>
          </w:p>
        </w:tc>
      </w:tr>
      <w:tr>
        <w:trPr>
          <w:trHeight w:val="234"/>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Comfort Solutions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center"/>
              <w:ind w:left="1035"/>
              <w:spacing w:after="0"/>
              <w:rPr>
                <w:sz w:val="20"/>
                <w:szCs w:val="20"/>
                <w:color w:val="auto"/>
              </w:rPr>
            </w:pPr>
            <w:r>
              <w:rPr>
                <w:rFonts w:ascii="Times New Roman" w:cs="Times New Roman" w:eastAsia="Times New Roman" w:hAnsi="Times New Roman"/>
                <w:sz w:val="18"/>
                <w:szCs w:val="18"/>
                <w:color w:val="auto"/>
                <w:w w:val="98"/>
              </w:rPr>
              <w:t>(0.8)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4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Climate Solutions</w:t>
            </w: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left="1075"/>
              <w:spacing w:after="0"/>
              <w:rPr>
                <w:sz w:val="20"/>
                <w:szCs w:val="20"/>
                <w:color w:val="auto"/>
              </w:rPr>
            </w:pPr>
            <w:r>
              <w:rPr>
                <w:rFonts w:ascii="Times New Roman" w:cs="Times New Roman" w:eastAsia="Times New Roman" w:hAnsi="Times New Roman"/>
                <w:sz w:val="18"/>
                <w:szCs w:val="18"/>
                <w:color w:val="auto"/>
                <w:w w:val="97"/>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25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shd w:val="clear" w:color="auto" w:fill="CCEEFF"/>
          </w:tcPr>
          <w:p>
            <w:pPr>
              <w:jc w:val="center"/>
              <w:ind w:left="1075"/>
              <w:spacing w:after="0"/>
              <w:rPr>
                <w:sz w:val="20"/>
                <w:szCs w:val="20"/>
                <w:color w:val="auto"/>
              </w:rPr>
            </w:pPr>
            <w:r>
              <w:rPr>
                <w:rFonts w:ascii="Times New Roman" w:cs="Times New Roman" w:eastAsia="Times New Roman" w:hAnsi="Times New Roman"/>
                <w:sz w:val="18"/>
                <w:szCs w:val="18"/>
                <w:b w:val="1"/>
                <w:bCs w:val="1"/>
                <w:color w:val="auto"/>
                <w:w w:val="97"/>
              </w:rPr>
              <w:t>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800" w:hanging="153"/>
        <w:spacing w:after="0"/>
        <w:tabs>
          <w:tab w:leader="none" w:pos="8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discussed in Note 13, an update to our purchase price allocation of Duro Dyne and Supco resulted in a $4.9 million increase in goodwill.</w:t>
      </w:r>
    </w:p>
    <w:p>
      <w:pPr>
        <w:spacing w:after="0" w:line="151" w:lineRule="exact"/>
        <w:rPr>
          <w:rFonts w:ascii="Times New Roman" w:cs="Times New Roman" w:eastAsia="Times New Roman" w:hAnsi="Times New Roman"/>
          <w:sz w:val="19"/>
          <w:szCs w:val="19"/>
          <w:color w:val="auto"/>
          <w:vertAlign w:val="superscript"/>
        </w:rPr>
      </w:pPr>
    </w:p>
    <w:p>
      <w:pPr>
        <w:jc w:val="both"/>
        <w:ind w:left="640" w:firstLine="7"/>
        <w:spacing w:after="0" w:line="234" w:lineRule="auto"/>
        <w:tabs>
          <w:tab w:leader="none" w:pos="826"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July 13, 2026, we completed the acquisition of Dusk Acquisition II Corporation and its subsidiaries Heat Controller, LLC and Aitons Equipment ULC (collectively, "Heat Controller"). In connection with this acquisition, $88.2 million of goodwill was recorded and is included in the Home Comfort Solutions reporting segment. See Note 13 for additional information on the Heat Controller acquisition.</w:t>
      </w:r>
    </w:p>
    <w:p>
      <w:pPr>
        <w:spacing w:after="0" w:line="215"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2026 or in any periods presented.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0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may bear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0"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March 2028.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 as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net on unsettled contracts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w w:val="98"/>
              </w:rPr>
              <w:t>(6.4)</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w w:val="97"/>
              </w:rPr>
              <w:t>1.9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9"/>
        </w:trPr>
        <w:tc>
          <w:tcPr>
            <w:tcW w:w="7160" w:type="dxa"/>
            <w:vAlign w:val="bottom"/>
            <w:tcBorders>
              <w:bottom w:val="single" w:sz="8" w:color="CCEEFF"/>
            </w:tcBorders>
            <w:shd w:val="clear" w:color="auto" w:fill="CCEEFF"/>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Unrealized gains, net included in AOCL, net of tax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253"/>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480" w:hanging="153"/>
        <w:spacing w:after="0" w:line="223" w:lineRule="auto"/>
        <w:tabs>
          <w:tab w:leader="none" w:pos="49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Assuming commodity prices and foreign currency exchange rates remain constant, we expect to reclassify $5.3 million of derivative gain as of September 30, 2026 into earnings within the next 12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4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020" w:type="dxa"/>
            <w:vAlign w:val="bottom"/>
            <w:tcBorders>
              <w:bottom w:val="single" w:sz="8" w:color="auto"/>
            </w:tcBorders>
          </w:tcPr>
          <w:p>
            <w:pPr>
              <w:spacing w:after="0"/>
              <w:rPr>
                <w:sz w:val="18"/>
                <w:szCs w:val="18"/>
                <w:color w:val="auto"/>
              </w:rPr>
            </w:pPr>
          </w:p>
        </w:tc>
      </w:tr>
      <w:tr>
        <w:trPr>
          <w:trHeight w:val="219"/>
        </w:trPr>
        <w:tc>
          <w:tcPr>
            <w:tcW w:w="5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w:t>
            </w: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w:t>
            </w:r>
          </w:p>
        </w:tc>
      </w:tr>
      <w:tr>
        <w:trPr>
          <w:trHeight w:val="212"/>
        </w:trPr>
        <w:tc>
          <w:tcPr>
            <w:tcW w:w="55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9"/>
        </w:trPr>
        <w:tc>
          <w:tcPr>
            <w:tcW w:w="55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0.8</w:t>
            </w:r>
          </w:p>
        </w:tc>
      </w:tr>
      <w:tr>
        <w:trPr>
          <w:trHeight w:val="2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6.3</w:t>
            </w:r>
          </w:p>
        </w:tc>
      </w:tr>
      <w:tr>
        <w:trPr>
          <w:trHeight w:val="24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8"/>
              </w:rPr>
              <w:t>(5.0)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8"/>
              </w:rPr>
              <w:t>(5.4)</w:t>
            </w:r>
          </w:p>
        </w:tc>
      </w:tr>
      <w:tr>
        <w:trPr>
          <w:trHeight w:val="2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8"/>
              </w:rPr>
              <w:t>(0.1)</w:t>
            </w:r>
          </w:p>
        </w:tc>
      </w:tr>
      <w:tr>
        <w:trPr>
          <w:trHeight w:val="24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1.3</w:t>
            </w:r>
          </w:p>
        </w:tc>
      </w:tr>
      <w:tr>
        <w:trPr>
          <w:trHeight w:val="2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9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center"/>
              <w:ind w:left="593"/>
              <w:spacing w:after="0"/>
              <w:rPr>
                <w:sz w:val="20"/>
                <w:szCs w:val="20"/>
                <w:color w:val="auto"/>
              </w:rPr>
            </w:pPr>
            <w:r>
              <w:rPr>
                <w:rFonts w:ascii="Times New Roman" w:cs="Times New Roman" w:eastAsia="Times New Roman" w:hAnsi="Times New Roman"/>
                <w:sz w:val="18"/>
                <w:szCs w:val="18"/>
                <w:b w:val="1"/>
                <w:bCs w:val="1"/>
                <w:color w:val="auto"/>
                <w:w w:val="97"/>
              </w:rPr>
              <w:t>3.5</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As of September 30, 2026, we had approximately $5.4 million in total gross unrecognized tax benefits. If recognized, $5.4 million would be recorded through the Consolidated Statements of Operations.</w:t>
      </w:r>
    </w:p>
    <w:p>
      <w:pPr>
        <w:spacing w:after="0" w:line="176"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24.6% for the three months ended September 30, 2026 compared to 18.1% for the three months ended September 30, 2025. The increase in rate is primarily due to higher income in higher tax jurisdictions.</w:t>
      </w:r>
    </w:p>
    <w:p>
      <w:pPr>
        <w:spacing w:after="0" w:line="204"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The Internal Revenue Service is currently auditing certain aspects of our U.S. federal income tax returns for 2021 and 2022, including cross border transactions. There are also ongoing U.S. state and local audits and other foreign audits covering fiscal years 2019 through 2024. We are generally no longer subject to U.S. federal, state and local, or non-U.S. income tax examinations by taxing authorities for years prior to 2019. We believe that the positions taken on our tax returns are more likely than not to prevail on technical merits and that adequate amounts have been reserved for these audits. However, final resolution of ongoing audits could result in settlements or judgments in excess of our reserves, and such settlements or judgments could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outstanding debt obligations and their classification in the accompanying Consolidated Balance Sheets (in millions)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1,621.4</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1,388.4</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1" w:lineRule="exact"/>
        <w:rPr>
          <w:sz w:val="20"/>
          <w:szCs w:val="20"/>
          <w:color w:val="auto"/>
        </w:rPr>
      </w:pPr>
    </w:p>
    <w:p>
      <w:pPr>
        <w:jc w:val="both"/>
        <w:ind w:right="100" w:firstLine="240"/>
        <w:spacing w:after="0" w:line="252" w:lineRule="auto"/>
        <w:rPr>
          <w:sz w:val="20"/>
          <w:szCs w:val="20"/>
          <w:color w:val="auto"/>
        </w:rPr>
      </w:pPr>
      <w:r>
        <w:rPr>
          <w:rFonts w:ascii="Times New Roman" w:cs="Times New Roman" w:eastAsia="Times New Roman" w:hAnsi="Times New Roman"/>
          <w:sz w:val="18"/>
          <w:szCs w:val="18"/>
          <w:color w:val="auto"/>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$455.1 million CP Notes outstanding under the Program as of September 30, 2026.</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Program was as follows as of:</w:t>
      </w:r>
    </w:p>
    <w:p>
      <w:pPr>
        <w:spacing w:after="0" w:line="62"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640" w:type="dxa"/>
            <w:vAlign w:val="bottom"/>
          </w:tcPr>
          <w:p>
            <w:pPr>
              <w:spacing w:after="0"/>
              <w:rPr>
                <w:sz w:val="18"/>
                <w:szCs w:val="18"/>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4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49" w:lineRule="exact"/>
        <w:rPr>
          <w:sz w:val="20"/>
          <w:szCs w:val="20"/>
          <w:color w:val="auto"/>
        </w:rPr>
      </w:pPr>
    </w:p>
    <w:p>
      <w:pPr>
        <w:jc w:val="both"/>
        <w:ind w:right="100" w:firstLine="240"/>
        <w:spacing w:after="0" w:line="239" w:lineRule="auto"/>
        <w:rPr>
          <w:sz w:val="20"/>
          <w:szCs w:val="20"/>
          <w:color w:val="auto"/>
        </w:rPr>
      </w:pPr>
      <w:r>
        <w:rPr>
          <w:rFonts w:ascii="Times New Roman" w:cs="Times New Roman" w:eastAsia="Times New Roman" w:hAnsi="Times New Roman"/>
          <w:sz w:val="18"/>
          <w:szCs w:val="18"/>
          <w:color w:val="auto"/>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(as defined below).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 0.50%, and Term SOFR for a one month tenor in effect on such day plus 1.00%, plus an applicable margin ranging between 0.00% and 0.025% per annum depending on our long-term unsecured debt rating. The Term Credit Agreement contains customary covenants and events of default that are substantially similar to the existing covenants and events of default in our Credit Agreement.</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Term Credit Agreement was as follows as of:</w:t>
      </w:r>
    </w:p>
    <w:p>
      <w:pPr>
        <w:spacing w:after="0" w:line="303"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2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8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Borders>
              <w:top w:val="single" w:sz="8" w:color="CCEEFF"/>
            </w:tcBorders>
            <w:shd w:val="clear" w:color="auto" w:fill="CCEEFF"/>
          </w:tcPr>
          <w:p>
            <w:pPr>
              <w:spacing w:after="0"/>
              <w:rPr>
                <w:sz w:val="20"/>
                <w:szCs w:val="20"/>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right="100" w:firstLine="240"/>
        <w:spacing w:after="0" w:line="251" w:lineRule="auto"/>
        <w:rPr>
          <w:sz w:val="20"/>
          <w:szCs w:val="20"/>
          <w:color w:val="auto"/>
        </w:rPr>
      </w:pPr>
      <w:r>
        <w:rPr>
          <w:rFonts w:ascii="Times New Roman" w:cs="Times New Roman" w:eastAsia="Times New Roman" w:hAnsi="Times New Roman"/>
          <w:sz w:val="18"/>
          <w:szCs w:val="18"/>
          <w:color w:val="auto"/>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 $1.0 billion 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$1.7 million committed to standby letters of credit as of September 30, 2026. Subject to covenant limitations, $543.2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Credit Agreement was as follows as of:</w:t>
      </w:r>
    </w:p>
    <w:p>
      <w:pPr>
        <w:spacing w:after="0" w:line="62" w:lineRule="exact"/>
        <w:rPr>
          <w:sz w:val="20"/>
          <w:szCs w:val="20"/>
          <w:color w:val="auto"/>
        </w:rPr>
      </w:pPr>
    </w:p>
    <w:tbl>
      <w:tblPr>
        <w:tblLayout w:type="fixed"/>
        <w:tblInd w:w="24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22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r>
    </w:tbl>
    <w:p>
      <w:pPr>
        <w:spacing w:after="0" w:line="315" w:lineRule="exact"/>
        <w:rPr>
          <w:sz w:val="20"/>
          <w:szCs w:val="20"/>
          <w:color w:val="auto"/>
        </w:rPr>
      </w:pPr>
    </w:p>
    <w:p>
      <w:pPr>
        <w:jc w:val="both"/>
        <w:ind w:right="100" w:firstLine="240"/>
        <w:spacing w:after="0" w:line="257" w:lineRule="auto"/>
        <w:rPr>
          <w:sz w:val="20"/>
          <w:szCs w:val="20"/>
          <w:color w:val="auto"/>
        </w:rPr>
      </w:pPr>
      <w:r>
        <w:rPr>
          <w:rFonts w:ascii="Times New Roman" w:cs="Times New Roman" w:eastAsia="Times New Roman" w:hAnsi="Times New Roman"/>
          <w:sz w:val="18"/>
          <w:szCs w:val="18"/>
          <w:color w:val="auto"/>
        </w:rPr>
        <w:t>The Credit Agreement and the Term Credit Agreement (the "Credit Facilities") are guaranteed by certain of our subsidiaries (the "Guarantor Subsidiaries") and contain customary covenants applicable to us and our subsidiaries including limitations on indebtedness, liens, dividends, stock repurchases, mergers, and sales of all or substantially all of our assets. In addition, the Credit Facilities each contain a financial covenant requiring us to maintain, as of the last day of each fiscal quarter for the four</w:t>
      </w:r>
    </w:p>
    <w:p>
      <w:pPr>
        <w:spacing w:after="0" w:line="200" w:lineRule="exact"/>
        <w:rPr>
          <w:sz w:val="20"/>
          <w:szCs w:val="20"/>
          <w:color w:val="auto"/>
        </w:rPr>
      </w:pPr>
    </w:p>
    <w:p>
      <w:pPr>
        <w:spacing w:after="0" w:line="3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20" w:name="page21"/>
    <w:bookmarkEnd w:id="20"/>
    <w:p>
      <w:pPr>
        <w:jc w:val="both"/>
        <w:spacing w:after="0" w:line="277" w:lineRule="auto"/>
        <w:rPr>
          <w:sz w:val="20"/>
          <w:szCs w:val="20"/>
          <w:color w:val="auto"/>
        </w:rPr>
      </w:pPr>
      <w:r>
        <w:rPr>
          <w:rFonts w:ascii="Times New Roman" w:cs="Times New Roman" w:eastAsia="Times New Roman" w:hAnsi="Times New Roman"/>
          <w:sz w:val="18"/>
          <w:szCs w:val="18"/>
          <w:color w:val="auto"/>
        </w:rPr>
        <w:t>prior fiscal quarters, a Total Net Leverage Ratio of no more than 3.50 to 1.00 (or, at our election, on up to two occasions following a material acquisition, 4.00 to 1.00).</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Credit Facilities contain customary events of default. These events of default include nonpayment of principal or other amounts, material inaccuracy of representations and warranties, breach of covenants, default on certain other indebtedness or receivables securitizations (cross default), certain voluntary and involuntary bankruptcy events, and the occurrence of a change in control. A cross default under our Credit Facilities could occur if:</w:t>
      </w:r>
    </w:p>
    <w:p>
      <w:pPr>
        <w:spacing w:after="0" w:line="203"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5" w:lineRule="exact"/>
        <w:rPr>
          <w:rFonts w:ascii="Times New Roman" w:cs="Times New Roman" w:eastAsia="Times New Roman" w:hAnsi="Times New Roman"/>
          <w:sz w:val="16"/>
          <w:szCs w:val="16"/>
          <w:color w:val="auto"/>
        </w:rPr>
      </w:pPr>
    </w:p>
    <w:p>
      <w:pPr>
        <w:jc w:val="both"/>
        <w:ind w:left="640" w:hanging="313"/>
        <w:spacing w:after="0" w:line="251"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in an aggregate principal amount exceeding $75.0 million, or any other condition exists which would give the holders the right to declare such indebtedness due and payable prior to its stated maturity.</w:t>
      </w:r>
    </w:p>
    <w:p>
      <w:pPr>
        <w:spacing w:after="0" w:line="212"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our Credit Facilities or our senior unsecured notes were to occur, it could have a wider impact on our liquidity than might otherwise occur from a default of a single debt instrument or lease commitment.</w:t>
      </w:r>
    </w:p>
    <w:p>
      <w:pPr>
        <w:spacing w:after="0" w:line="203"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Facilities (except for a bankruptcy event of default, in which case such amounts will automatically become due and payable and the lenders’ commitments will automatically terminate).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are currently in compliance with all covenant requirements.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208"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The Notes are guaranteed, on a senior unsecured basis, by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23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6"/>
                <w:szCs w:val="16"/>
                <w:color w:val="auto"/>
              </w:rPr>
            </w:pPr>
          </w:p>
        </w:tc>
        <w:tc>
          <w:tcPr>
            <w:tcW w:w="2120" w:type="dxa"/>
            <w:vAlign w:val="bottom"/>
            <w:gridSpan w:val="4"/>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Affected Line Item(s) in the</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0" w:type="dxa"/>
            <w:vAlign w:val="bottom"/>
          </w:tcPr>
          <w:p>
            <w:pPr>
              <w:spacing w:after="0"/>
              <w:rPr>
                <w:sz w:val="1"/>
                <w:szCs w:val="1"/>
                <w:color w:val="auto"/>
              </w:rPr>
            </w:pPr>
          </w:p>
        </w:tc>
      </w:tr>
      <w:tr>
        <w:trPr>
          <w:trHeight w:val="22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Gains (Losses) on Cash Flow Hedges: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Cost of goods sold; Losses (gains)</w:t>
            </w:r>
          </w:p>
        </w:tc>
        <w:tc>
          <w:tcPr>
            <w:tcW w:w="0" w:type="dxa"/>
            <w:vAlign w:val="bottom"/>
          </w:tcPr>
          <w:p>
            <w:pPr>
              <w:spacing w:after="0"/>
              <w:rPr>
                <w:sz w:val="1"/>
                <w:szCs w:val="1"/>
                <w:color w:val="auto"/>
              </w:rPr>
            </w:pPr>
          </w:p>
        </w:tc>
      </w:tr>
      <w:tr>
        <w:trPr>
          <w:trHeight w:val="24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expenses, net</w:t>
            </w:r>
          </w:p>
        </w:tc>
        <w:tc>
          <w:tcPr>
            <w:tcW w:w="0" w:type="dxa"/>
            <w:vAlign w:val="bottom"/>
          </w:tcPr>
          <w:p>
            <w:pPr>
              <w:spacing w:after="0"/>
              <w:rPr>
                <w:sz w:val="1"/>
                <w:szCs w:val="1"/>
                <w:color w:val="auto"/>
              </w:rPr>
            </w:pPr>
          </w:p>
        </w:tc>
      </w:tr>
      <w:tr>
        <w:trPr>
          <w:trHeight w:val="2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4"/>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6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(0.5)</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4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0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(0.4)</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nine months ended September 30, 2026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Share of Equity</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Method Investments</w:t>
            </w:r>
          </w:p>
        </w:tc>
        <w:tc>
          <w:tcPr>
            <w:tcW w:w="12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30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3"/>
                <w:szCs w:val="13"/>
                <w:color w:val="auto"/>
              </w:rPr>
            </w:pPr>
          </w:p>
        </w:tc>
        <w:tc>
          <w:tcPr>
            <w:tcW w:w="11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0" w:type="dxa"/>
            <w:vAlign w:val="bottom"/>
          </w:tcPr>
          <w:p>
            <w:pPr>
              <w:spacing w:after="0"/>
              <w:rPr>
                <w:sz w:val="1"/>
                <w:szCs w:val="1"/>
                <w:color w:val="auto"/>
              </w:rPr>
            </w:pPr>
          </w:p>
        </w:tc>
      </w:tr>
      <w:tr>
        <w:trPr>
          <w:trHeight w:val="187"/>
        </w:trPr>
        <w:tc>
          <w:tcPr>
            <w:tcW w:w="400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59"/>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as of September 30, 2026 were the same as those used as of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28" w:lineRule="exact"/>
        <w:rPr>
          <w:sz w:val="20"/>
          <w:szCs w:val="20"/>
          <w:color w:val="auto"/>
        </w:rPr>
      </w:pPr>
    </w:p>
    <w:p>
      <w:pPr>
        <w:jc w:val="both"/>
        <w:ind w:firstLine="240"/>
        <w:spacing w:after="0" w:line="284"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other short-term debt facilities approximate fair value due to the short maturities of these instruments.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carrying amount of our Credit Facilities in Long-term debt and CP Notes also approximates fair value due to their variable-rate characteristics.</w:t>
      </w:r>
    </w:p>
    <w:p>
      <w:pPr>
        <w:spacing w:after="0" w:line="247"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74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Acquisitions: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Heat Controller</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In July 2026, we acquired 100% of the outstanding shares of common stock of Dusk Acquisition II Corporation and its subsidiaries Heat Controller, LLC and Aitons Equipment ULC (collectively, "Heat Controller"). Heat Controller serves distributors across North America and strengthens the Company's ability to serve small and mid-size HVAC distributors by expanding access to differentiated equipment offerings while creating new opportunities to broaden our share in the North American HVAC market. Excluding cash received at the closing, the total cash consideration paid was $215.3 million.</w:t>
      </w:r>
    </w:p>
    <w:p>
      <w:pPr>
        <w:spacing w:after="0" w:line="192"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The purchase price was allocated to the assets acquired and liabilities assumed based on management’s estimate of their respective fair values at the date of acquisition.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the assembled workforce and strategic benefits that are expected to be realized from the acquisition.</w:t>
      </w:r>
    </w:p>
    <w:p>
      <w:pPr>
        <w:spacing w:after="0" w:line="208" w:lineRule="exact"/>
        <w:rPr>
          <w:sz w:val="20"/>
          <w:szCs w:val="20"/>
          <w:color w:val="auto"/>
        </w:rPr>
      </w:pPr>
    </w:p>
    <w:p>
      <w:pPr>
        <w:jc w:val="both"/>
        <w:ind w:right="20" w:firstLine="240"/>
        <w:spacing w:after="0" w:line="262" w:lineRule="auto"/>
        <w:rPr>
          <w:sz w:val="20"/>
          <w:szCs w:val="20"/>
          <w:color w:val="auto"/>
        </w:rPr>
      </w:pPr>
      <w:r>
        <w:rPr>
          <w:rFonts w:ascii="Times New Roman" w:cs="Times New Roman" w:eastAsia="Times New Roman" w:hAnsi="Times New Roman"/>
          <w:sz w:val="18"/>
          <w:szCs w:val="18"/>
          <w:color w:val="auto"/>
        </w:rPr>
        <w:t>The purchase price allocation is preliminary and subject to revision as additional information about the fair value of assets acquired and liabilities assumed becomes available. Under the terms of the purchase agreement, a final working capital adjustment is due in the fourth quarter of 2026. The preliminary allocation of the purchase price as of the acquisition date was as follows:</w:t>
      </w:r>
    </w:p>
    <w:p>
      <w:pPr>
        <w:spacing w:after="0" w:line="12"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(Amounts in millions)</w:t>
            </w:r>
          </w:p>
        </w:tc>
        <w:tc>
          <w:tcPr>
            <w:tcW w:w="4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4"/>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r>
      <w:tr>
        <w:trPr>
          <w:trHeight w:val="267"/>
        </w:trPr>
        <w:tc>
          <w:tcPr>
            <w:tcW w:w="8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67"/>
        </w:trPr>
        <w:tc>
          <w:tcPr>
            <w:tcW w:w="87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spacing w:after="0"/>
              <w:rPr>
                <w:sz w:val="23"/>
                <w:szCs w:val="23"/>
                <w:color w:val="auto"/>
              </w:rPr>
            </w:pPr>
          </w:p>
        </w:tc>
      </w:tr>
      <w:tr>
        <w:trPr>
          <w:trHeight w:val="234"/>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acquisition date</w:t>
            </w: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8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0" w:firstLine="240"/>
        <w:spacing w:after="0" w:line="277" w:lineRule="auto"/>
        <w:rPr>
          <w:sz w:val="20"/>
          <w:szCs w:val="20"/>
          <w:color w:val="auto"/>
        </w:rPr>
      </w:pPr>
      <w:r>
        <w:rPr>
          <w:rFonts w:ascii="Times New Roman" w:cs="Times New Roman" w:eastAsia="Times New Roman" w:hAnsi="Times New Roman"/>
          <w:sz w:val="18"/>
          <w:szCs w:val="18"/>
          <w:color w:val="auto"/>
        </w:rPr>
        <w:t>The purchase price allocation includes $74.6 million of acquired identifiable intangible assets, all of which have finite lives. The fair value of the identifiable intangible assets has been estimated using the income approach through a discounted cash flow</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18"/>
          <w:szCs w:val="18"/>
          <w:color w:val="auto"/>
        </w:rPr>
        <w:t>analysis. The estimates are based on inputs that are not observable in the market, and therefore represent non-recurring Level 3 inputs.The determination of the useful lives is based upon various industry studies, historical acquisition experience, and economic factors.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(Amount in millions)</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0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 Method</w:t>
            </w:r>
          </w:p>
        </w:tc>
      </w:tr>
      <w:tr>
        <w:trPr>
          <w:trHeight w:val="234"/>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0" w:type="dxa"/>
            <w:vAlign w:val="bottom"/>
            <w:shd w:val="clear" w:color="auto" w:fill="CCEEFF"/>
          </w:tcPr>
          <w:p>
            <w:pPr>
              <w:jc w:val="right"/>
              <w:ind w:right="221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0"/>
                <w:szCs w:val="20"/>
                <w:color w:val="auto"/>
              </w:rPr>
            </w:pP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 years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4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 years</w:t>
            </w:r>
          </w:p>
        </w:tc>
        <w:tc>
          <w:tcPr>
            <w:tcW w:w="2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59"/>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shd w:val="clear" w:color="auto" w:fill="CCEEFF"/>
          </w:tcPr>
          <w:p>
            <w:pPr>
              <w:jc w:val="right"/>
              <w:ind w:right="221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Subsequent to the purchase of Heat Controller, we recognized net sales of approximately $29.5 million and the acquired business contributed approximately $1.2 million to the Home Comfort Solutions segment profit from the date of acquisition through September 30, 2026. Estimated tax deductible goodwill of $31.5 million was generated as a result of the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Duro Dyne and Supco</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7"/>
          <w:szCs w:val="17"/>
          <w:color w:val="auto"/>
        </w:rPr>
        <w:t>In October 2025, we completed the acquisition of Duro Dyne and Supco, a robust portfolio of HVAC parts and supplies that complement our existing residential and commercial offerings. Under the terms of the purchase agreement, a final working capital adjustment was completed in the first quarter of 2026. This working capital adjustment resulted in a $2.3 million increase in the purchase price. Additionally, during the first quarter of 2026 we made certain purchase price adjustments. The following table details the purchase price adjustments that were made through the third quarter of 2026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220" w:type="dxa"/>
            <w:vAlign w:val="bottom"/>
          </w:tcPr>
          <w:p>
            <w:pPr>
              <w:spacing w:after="0"/>
              <w:rPr>
                <w:sz w:val="18"/>
                <w:szCs w:val="18"/>
                <w:color w:val="auto"/>
              </w:rPr>
            </w:pPr>
          </w:p>
        </w:tc>
        <w:tc>
          <w:tcPr>
            <w:tcW w:w="17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tangible assets acquired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40"/>
        </w:trPr>
        <w:tc>
          <w:tcPr>
            <w:tcW w:w="570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Intangible assets acquired</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4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153"/>
        <w:spacing w:after="0" w:line="283" w:lineRule="auto"/>
        <w:tabs>
          <w:tab w:leader="none" w:pos="40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intangible assets acquired were estimated using the income approach through a discounted cash flow analysis. The estimates are based on inputs that are not observable in the market, and therefore represent non-recurring Level 3 inputs.</w:t>
      </w:r>
    </w:p>
    <w:p>
      <w:pPr>
        <w:spacing w:after="0" w:line="175"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The valuation of assets acquired and liabilities assumed in connection with the Duro Dyne and Supco acquisition was finalized in the third quarter of 2026.</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(the "Exchange Act"),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3"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2025,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operate in two reportable business segments of the HVACR industry, Home Comfort Solutions and Building Climate Solutions. For more detailed information regarding our reportable segments, see Note 2 in the Notes to the Consolidated Financial Statements.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stores. The demand for our products and services is seasonal and can be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6"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costs of warranty expense, and freight and distribution costs. The principal raw materials used in our manufacturing processes are steel, aluminum and copper. In recent years, pricing volatility for these commodities and related components has impacted us and the HVACR industry in general. We seek to mitigate the impact of certain commodity price volatility and tariffs through a combination of pricing actions, vendor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Results for the third quarter of 2026 were mixed as our Home Comfort Solutions segment faced volume headwinds and higher product costs due to inflation, including tariff related impacts. Overall our net sales increased 10% and our segment profit decreased $13 million as compared to prior year. For our Home Comfort Solutions segment, net sales increased 3% and segment profit decreased $40 million. For our Building Climate Solutions segment, net sales increased 24% and segment profit increased $26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$1,572 million in the third quarter of 2026 reflected a 10% increase as compared to the same period in 2025.</w:t>
      </w:r>
    </w:p>
    <w:p>
      <w:pPr>
        <w:spacing w:after="0" w:line="25"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third quarter of 2026 decreased $17 million to $312 million as lower sales volumes, higher product costs, and restructuring costs were partially offset by favorable price.</w:t>
      </w: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2026 was $221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$6.41 per share in the third quarter of 2026 as compared to $7.38 per share in the same period in 2025.</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2026, we returned $138 million to shareholders through dividend payments and repurchased $302 million of common stock through our share repurchase program.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Throughout 2025 and 2026, the U.S. government implemented new tariff measures under various authorities, including the International Emergency Economic Powers Act ("IEEPA"), Section 232 of the Trade Expansion Act of 1962, and Sections 122 and 301 of the Trade Act of 1974.</w:t>
      </w:r>
    </w:p>
    <w:p>
      <w:pPr>
        <w:spacing w:after="0" w:line="189" w:lineRule="exact"/>
        <w:rPr>
          <w:sz w:val="20"/>
          <w:szCs w:val="20"/>
          <w:color w:val="auto"/>
        </w:rPr>
      </w:pPr>
    </w:p>
    <w:p>
      <w:pPr>
        <w:jc w:val="both"/>
        <w:ind w:firstLine="240"/>
        <w:spacing w:after="0" w:line="307" w:lineRule="auto"/>
        <w:rPr>
          <w:sz w:val="20"/>
          <w:szCs w:val="20"/>
          <w:color w:val="auto"/>
        </w:rPr>
      </w:pPr>
      <w:r>
        <w:rPr>
          <w:rFonts w:ascii="Times New Roman" w:cs="Times New Roman" w:eastAsia="Times New Roman" w:hAnsi="Times New Roman"/>
          <w:sz w:val="17"/>
          <w:szCs w:val="17"/>
          <w:color w:val="auto"/>
        </w:rPr>
        <w:t>In February 2026, the U.S. Supreme Court ruled against tariffs imposed under IEEPA, and U.S. Customs and Border Protection is now processing valid court-ordered IEEPA refunds. The ruling did not repeal Section 232 tariffs on steel, copper, and aluminum or Section 301 tariffs on covered HVAC imports.</w:t>
      </w:r>
    </w:p>
    <w:p>
      <w:pPr>
        <w:spacing w:after="0" w:line="167"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Following this ruling, the U.S. presidential administration imposed a temporary surcharge under Section 122, which applied a 10% global tariff on most imported products, effective through July 24, 2026. The temporary surcharge was replaced by a new Section 301 forced labor tariffs framework of 10% or 12.5%, covering imports from 60 trading partners. Section 232 articles and qualifying USMCA goods are excluded from this new framework. Section 232 tariffs also continued to evolve, with modifications implemented in April and June 2026. The Company continues to evaluate tariff mitigation strategies.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94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w w:val="97"/>
              </w:rPr>
              <w:t>Percent of Sales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1,572.5</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1,426.8</w:t>
            </w:r>
          </w:p>
        </w:tc>
        <w:tc>
          <w:tcPr>
            <w:tcW w:w="1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10.2 %</w:t>
            </w:r>
          </w:p>
        </w:tc>
        <w:tc>
          <w:tcPr>
            <w:tcW w:w="12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4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20"/>
                <w:szCs w:val="20"/>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3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9"/>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19.8 %</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Net sales for the third quarter of 2026 increased 10% as compared to the same period in 2025 primarily due to a 2% increase from higher sales volumes, a 2% increase from favorable mix and price and a 6% increase in sales volumes from completed acquisitions.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Gross profit margins in the third quarter of 2026 decreased 250 basis points ("bps") to 31.6% as compared to 34.1% in the same period in 2025. Gross margins decreased 300 bps from higher product costs, due to inflation, including tariff related impacts and lower factory absorption, and 50 bps from higher fuel costs, inflation on distribution, and ongoing investments, which were partially offset by 80 bps from favorable mix and price and 20 bps from sales volumes from completed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$15 million to $177 million in the third quarter of 2026 as compared to $162 million in the same period in 2025, primarily attributable to higher discretionary and employee-related costs, the acquisition of Duro Dyne and Supco in the fourth quarter of 2025 and the acquisition of Heat Controller in the third quarter of 2026. As a percentage of net sales, SG&amp;A was flat at 11.3%.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third quarter of 2026 and 2025 included the following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440" w:type="dxa"/>
            <w:vAlign w:val="bottom"/>
            <w:tcBorders>
              <w:bottom w:val="single" w:sz="8" w:color="auto"/>
            </w:tcBorders>
          </w:tcPr>
          <w:p>
            <w:pPr>
              <w:spacing w:after="0"/>
              <w:rPr>
                <w:sz w:val="18"/>
                <w:szCs w:val="18"/>
                <w:color w:val="auto"/>
              </w:rPr>
            </w:pPr>
          </w:p>
        </w:tc>
      </w:tr>
      <w:tr>
        <w:trPr>
          <w:trHeight w:val="220"/>
        </w:trPr>
        <w:tc>
          <w:tcPr>
            <w:tcW w:w="71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r>
      <w:tr>
        <w:trPr>
          <w:trHeight w:val="23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38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1380" w:type="dxa"/>
            <w:vAlign w:val="bottom"/>
          </w:tcPr>
          <w:p>
            <w:pPr>
              <w:spacing w:after="0"/>
              <w:rPr>
                <w:sz w:val="20"/>
                <w:szCs w:val="20"/>
                <w:color w:val="auto"/>
              </w:rPr>
            </w:pPr>
          </w:p>
        </w:tc>
        <w:tc>
          <w:tcPr>
            <w:tcW w:w="60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380" w:type="dxa"/>
            <w:vAlign w:val="bottom"/>
            <w:shd w:val="clear" w:color="auto" w:fill="CCEEFF"/>
          </w:tcPr>
          <w:p>
            <w:pPr>
              <w:spacing w:after="0"/>
              <w:rPr>
                <w:sz w:val="20"/>
                <w:szCs w:val="20"/>
                <w:color w:val="auto"/>
              </w:rPr>
            </w:pPr>
          </w:p>
        </w:tc>
        <w:tc>
          <w:tcPr>
            <w:tcW w:w="600" w:type="dxa"/>
            <w:vAlign w:val="bottom"/>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8"/>
              </w:rPr>
              <w:t>(4.1)</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1380" w:type="dxa"/>
            <w:vAlign w:val="bottom"/>
          </w:tcPr>
          <w:p>
            <w:pPr>
              <w:spacing w:after="0"/>
              <w:rPr>
                <w:sz w:val="20"/>
                <w:szCs w:val="20"/>
                <w:color w:val="auto"/>
              </w:rPr>
            </w:pPr>
          </w:p>
        </w:tc>
        <w:tc>
          <w:tcPr>
            <w:tcW w:w="60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litigation charges</w:t>
            </w:r>
          </w:p>
        </w:tc>
        <w:tc>
          <w:tcPr>
            <w:tcW w:w="13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7"/>
              </w:rPr>
              <w:t>5.4</w:t>
            </w:r>
          </w:p>
        </w:tc>
        <w:tc>
          <w:tcPr>
            <w:tcW w:w="12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7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was de minimis in the third quarter of 2026 and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$18 million in the third quarter of 2026 from $11 million in the same period in 2025 primarily due to increased borrowings on our commercial paper facility and our Term Credit Agreement entered into in October of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jc w:val="both"/>
        <w:ind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24.6% for the third quarter of 2026 as compared to 18.1% in the same period in 2025. The increase in the rate is primarily due to higher income in higher tax jurisdictions.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Third Quarter of 2026 Compared to Third Quarter of 2025 -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third quarter of 2026 and 2025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82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0"/>
        </w:trPr>
        <w:tc>
          <w:tcPr>
            <w:tcW w:w="43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0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912.9</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Pr>
          <w:p>
            <w:pPr>
              <w:spacing w:after="0"/>
              <w:rPr>
                <w:sz w:val="20"/>
                <w:szCs w:val="20"/>
                <w:color w:val="auto"/>
              </w:rPr>
            </w:pP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bl>
    <w:p>
      <w:pPr>
        <w:spacing w:after="0" w:line="75"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3% in the third quarter of 2026 as compared to the same period in 2025 primarily due to a 4% increase in sales volumes from completed acquisitions and a 2% increase from favorable mix and price, which were partially offset by a 3% decrease in sales volumes.</w:t>
      </w:r>
    </w:p>
    <w:p>
      <w:pPr>
        <w:spacing w:after="0" w:line="18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Segment profit in the third quarter of 2026 decreased $40 million as compared to the same period in 2025, primarily due to $32 million from higher product costs due to inflation, including tariff related impacts and lower factory absorption, $12 million from reduced sales volumes, and $15 million from higher fuel costs, inflation on SG&amp;A and distribution, and ongoing investments. These impacts were partially offset by a $13 million benefit from favorable mix and price, and $6 million from completed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third quarter of 2026 and 2025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380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406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5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635.3</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513.9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20"/>
                <w:szCs w:val="20"/>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spacing w:after="0" w:line="30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Net sales increased 24% in the third quarter of 2026 as compared to the same period in 2025 primarily due to a 13% increase in sales volumes, a 9% increase in sales volumes from completed acquisitions, and a 2% increase from favorable mix and price.</w:t>
      </w:r>
    </w:p>
    <w:p>
      <w:pPr>
        <w:spacing w:after="0" w:line="189"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Segment profit in the third quarter of 2026 increased $26 million as compared to the same period in 2025 primarily due to $24 million profit benefit from higher sales volumes, $13 million profit benefit from sales volumes from completed acquisitions, and $8 million from favorable mix and price, which were partially offset by $14 million in higher product costs due to inflation, including tariff related impacts and $5 million from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2026 Compared to Year-to-Date through September 30, 2025 -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58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1"/>
                <w:szCs w:val="11"/>
                <w:color w:val="auto"/>
              </w:rPr>
            </w:pPr>
          </w:p>
        </w:tc>
        <w:tc>
          <w:tcPr>
            <w:tcW w:w="148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4,252.9</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4,000.3</w:t>
            </w:r>
          </w:p>
        </w:tc>
        <w:tc>
          <w:tcPr>
            <w:tcW w:w="14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6.3 %</w:t>
            </w:r>
          </w:p>
        </w:tc>
        <w:tc>
          <w:tcPr>
            <w:tcW w:w="1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4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2,654.7</w:t>
            </w:r>
          </w:p>
        </w:tc>
        <w:tc>
          <w:tcPr>
            <w:tcW w:w="1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1,666.7</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0"/>
                <w:szCs w:val="20"/>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from previous dispositions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9"/>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19.5 %</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6% for the nine months ended September 30, 2026 as compared to the same period in 2025, primarily due to a 5% increase in sales volumes from completed acquisitions and a 4% increase from favorable mix and price, which were partially offset by a 3% decrease in sales volumes.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Gross profit margins for the nine months ended September 30, 2026 decreased 100 bps to 32.6% as compared to 33.6% in the same period in 2025. Gross margins decreased 220 bps from higher product costs, due to inflation, including tariff related impacts and lower factory absorption, net of $30 million in tariff refunds, 40 bps from higher fuel costs, inflation on distribution, and ongoing investments, and 10 bps from miscellaneous costs, which were partially offset by 140 bps from favorable mix and price and 30 bps from completed acquisitions.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7" w:lineRule="exact"/>
        <w:rPr>
          <w:sz w:val="20"/>
          <w:szCs w:val="20"/>
          <w:color w:val="auto"/>
        </w:rPr>
      </w:pPr>
    </w:p>
    <w:p>
      <w:pPr>
        <w:jc w:val="both"/>
        <w:ind w:right="20" w:firstLine="240"/>
        <w:spacing w:after="0" w:line="251" w:lineRule="auto"/>
        <w:rPr>
          <w:sz w:val="20"/>
          <w:szCs w:val="20"/>
          <w:color w:val="auto"/>
        </w:rPr>
      </w:pPr>
      <w:r>
        <w:rPr>
          <w:rFonts w:ascii="Times New Roman" w:cs="Times New Roman" w:eastAsia="Times New Roman" w:hAnsi="Times New Roman"/>
          <w:sz w:val="18"/>
          <w:szCs w:val="18"/>
          <w:color w:val="auto"/>
        </w:rPr>
        <w:t>SG&amp;A increased $39 million to $546 million for the nine months ended September 30, 2026 as compared to $506 million in the same period in 2025 primarily due to higher discretionary and employee-related costs and the acquisition of Duro Dyne and Supco in the fourth quarter of 2025 and the acquisition of Heat Controller in the third quarter of 2026. As a percentage of net sales, SG&amp;A increased 10 bps to 12.8% from 12.7%.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nine  months  ended  September  30,  2026  and  2025  included  the  following  (in  millions):</w:t>
      </w:r>
    </w:p>
    <w:p>
      <w:pPr>
        <w:spacing w:after="0" w:line="6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 (gains)</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1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4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1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litigation charges</w:t>
            </w: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9"/>
        </w:trPr>
        <w:tc>
          <w:tcPr>
            <w:tcW w:w="7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7"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Investments over which we do not exercise control but have significant influence are accounted for using the equity method of accounting. Income from equity method investments decreased to $2 million for the nine months ended September 30, 2026 as compared to $6 million in the same period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Interest expense, net increased $22 million for the nine months ended September 30, 2026 to $47 million as compared to $25 million in the same period in 2025 primarily due to increased borrowings on our commercial paper facility and our term loan agreement entered into in October of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35" w:lineRule="exact"/>
        <w:rPr>
          <w:sz w:val="20"/>
          <w:szCs w:val="20"/>
          <w:color w:val="auto"/>
        </w:rPr>
      </w:pPr>
    </w:p>
    <w:p>
      <w:pPr>
        <w:ind w:right="280" w:firstLine="240"/>
        <w:spacing w:after="0" w:line="261" w:lineRule="auto"/>
        <w:rPr>
          <w:sz w:val="20"/>
          <w:szCs w:val="20"/>
          <w:color w:val="auto"/>
        </w:rPr>
      </w:pPr>
      <w:r>
        <w:rPr>
          <w:rFonts w:ascii="Times New Roman" w:cs="Times New Roman" w:eastAsia="Times New Roman" w:hAnsi="Times New Roman"/>
          <w:sz w:val="18"/>
          <w:szCs w:val="18"/>
          <w:color w:val="auto"/>
        </w:rPr>
        <w:t>Our effective tax rate was 22.1% for the nine months ended September 30, 2026 as compared to 18.9% in the same period in 2025. The increase in the rate was primarily due to higher income in higher tax jurisdictions.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2026 Compared to Year-to-Date through September 30, 2025 -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Comfort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Home Comfort Solutions segment's net sales and profit for the nine months ended September 30, 2026 and 2025 (dollars in millions):</w:t>
      </w:r>
    </w:p>
    <w:p>
      <w:pPr>
        <w:spacing w:after="0" w:line="2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2,522.8</w:t>
            </w:r>
          </w:p>
        </w:tc>
        <w:tc>
          <w:tcPr>
            <w:tcW w:w="160" w:type="dxa"/>
            <w:vAlign w:val="bottom"/>
          </w:tcPr>
          <w:p>
            <w:pPr>
              <w:spacing w:after="0"/>
              <w:rPr>
                <w:sz w:val="20"/>
                <w:szCs w:val="20"/>
                <w:color w:val="auto"/>
              </w:rPr>
            </w:pPr>
          </w:p>
        </w:tc>
        <w:tc>
          <w:tcPr>
            <w:tcW w:w="4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2,643.6</w:t>
            </w:r>
          </w:p>
        </w:tc>
        <w:tc>
          <w:tcPr>
            <w:tcW w:w="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484.0</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591.2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74"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Net sales decreased 5% for the nine months ended September 30, 2026 as compared to the same period in 2025 primarily due to a 12% decrease in sales volumes which was partially offset by a 4% increase from favorable mix and price and a 3% increase in sales volumes from completed acquisitions.</w:t>
      </w:r>
    </w:p>
    <w:p>
      <w:pPr>
        <w:spacing w:after="0" w:line="189"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Segment profit for the first nine months of 2026 decreased by $107 million as compared to the same period in 2025, primarily due to lower sales volumes, which resulted in $116 million profit headwind, $57 million from higher product costs due to inflation, including tariff related impacts and lower factory absorption, net of $25 million in tariff refunds, $14 million from higher fuel costs, inflation across SG&amp;A and distribution, and ongoing investments, and $12 million from miscellaneous costs. These impacts were partially offset by a $78 million benefit from favorable mix and price and $14 million from completed acquisitions.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Building Climate Solutions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Building Climate Solutions segment's net sales and profit for the nine months ended September 30, 2026 and 2025 (dollars in millions):</w:t>
      </w:r>
    </w:p>
    <w:p>
      <w:pPr>
        <w:spacing w:after="0" w:line="2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1,730.1</w:t>
            </w:r>
          </w:p>
        </w:tc>
        <w:tc>
          <w:tcPr>
            <w:tcW w:w="160" w:type="dxa"/>
            <w:vAlign w:val="bottom"/>
          </w:tcPr>
          <w:p>
            <w:pPr>
              <w:spacing w:after="0"/>
              <w:rPr>
                <w:sz w:val="20"/>
                <w:szCs w:val="20"/>
                <w:color w:val="auto"/>
              </w:rPr>
            </w:pPr>
          </w:p>
        </w:tc>
        <w:tc>
          <w:tcPr>
            <w:tcW w:w="38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1,356.7</w:t>
            </w:r>
          </w:p>
        </w:tc>
        <w:tc>
          <w:tcPr>
            <w:tcW w:w="160" w:type="dxa"/>
            <w:vAlign w:val="bottom"/>
          </w:tcPr>
          <w:p>
            <w:pPr>
              <w:spacing w:after="0"/>
              <w:rPr>
                <w:sz w:val="20"/>
                <w:szCs w:val="20"/>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417.4</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319.7</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4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841"/>
        </w:trPr>
        <w:tc>
          <w:tcPr>
            <w:tcW w:w="4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3"/>
        </w:trPr>
        <w:tc>
          <w:tcPr>
            <w:tcW w:w="47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0" w:name="page31"/>
    <w:bookmarkEnd w:id="30"/>
    <w:p>
      <w:pPr>
        <w:jc w:val="both"/>
        <w:ind w:firstLine="240"/>
        <w:spacing w:after="0" w:line="258" w:lineRule="auto"/>
        <w:rPr>
          <w:sz w:val="20"/>
          <w:szCs w:val="20"/>
          <w:color w:val="auto"/>
        </w:rPr>
      </w:pPr>
      <w:r>
        <w:rPr>
          <w:rFonts w:ascii="Times New Roman" w:cs="Times New Roman" w:eastAsia="Times New Roman" w:hAnsi="Times New Roman"/>
          <w:sz w:val="18"/>
          <w:szCs w:val="18"/>
          <w:color w:val="auto"/>
        </w:rPr>
        <w:t>Net sales increased 28% for the nine months ended September 30, 2026 as compared to the same period in 2025 primarily due to a 14% increase in sales volumes, a 10% increase in sales volumes from completed acquisitions, and 4% from favorable mix and price.</w:t>
      </w:r>
    </w:p>
    <w:p>
      <w:pPr>
        <w:spacing w:after="0" w:line="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8"/>
          <w:szCs w:val="18"/>
          <w:color w:val="auto"/>
        </w:rPr>
        <w:t>Segment profit for the first nine months of 2026 increased $98 million as compared to the same period in 2025 primarily due to $72 million profit benefit from higher sales volumes, $46 million increase from favorable mix and price, and $32 million profit benefit from sales volumes from completed acquisitions, which were partially offset by $30 million from higher product costs due to inflation, including tariff related impacts and lower factory absorption, net of $5 million in tariff refunds, $19 million from higher fuel costs, inflation across SG&amp;A and distribution, and ongoing investments, and $3 million from miscellaneous costs.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 commercial paper program (as described below). Working capital needs are generally greater in the first and second quarters due to the seasonal nature of our business cycle.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nine months ended September 30, 2026 and 2025 (in millions):</w:t>
      </w:r>
    </w:p>
    <w:p>
      <w:pPr>
        <w:spacing w:after="0" w:line="6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80" w:type="dxa"/>
            <w:vAlign w:val="bottom"/>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8"/>
              </w:rPr>
              <w:t>583.4</w:t>
            </w:r>
          </w:p>
        </w:tc>
        <w:tc>
          <w:tcPr>
            <w:tcW w:w="120" w:type="dxa"/>
            <w:vAlign w:val="bottom"/>
          </w:tcPr>
          <w:p>
            <w:pPr>
              <w:spacing w:after="0"/>
              <w:rPr>
                <w:sz w:val="20"/>
                <w:szCs w:val="20"/>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4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20"/>
                <w:szCs w:val="20"/>
                <w:color w:val="auto"/>
              </w:rPr>
            </w:pPr>
          </w:p>
        </w:tc>
        <w:tc>
          <w:tcPr>
            <w:tcW w:w="7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(334.1)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41"/>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80" w:type="dxa"/>
            <w:vAlign w:val="bottom"/>
          </w:tcPr>
          <w:p>
            <w:pPr>
              <w:spacing w:after="0"/>
              <w:rPr>
                <w:sz w:val="20"/>
                <w:szCs w:val="20"/>
                <w:color w:val="auto"/>
              </w:rPr>
            </w:pPr>
          </w:p>
        </w:tc>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(233.6)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r>
    </w:tbl>
    <w:p>
      <w:pPr>
        <w:spacing w:after="0" w:line="299" w:lineRule="exact"/>
        <w:rPr>
          <w:sz w:val="20"/>
          <w:szCs w:val="20"/>
          <w:color w:val="auto"/>
        </w:rPr>
      </w:pPr>
    </w:p>
    <w:p>
      <w:pPr>
        <w:jc w:val="both"/>
        <w:ind w:firstLine="24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The change in net cash provided by operating activities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net cash provided by operating activities for the same period in 2025 is primarily due to favorable working capital changes.</w:t>
      </w:r>
    </w:p>
    <w:p>
      <w:pPr>
        <w:spacing w:after="0" w:line="186"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increased $247 million for the nine months ended September 30,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of 2025 primarily due to $210 million, excluding cash acquired, related to our acquisition of Heat Controller as well as the final settlement of the working capital adjustment for the Duro Dyne and Supco acquisition. Capital expenditures were $124 million for the nine months ended September 30, 2026 compared to $90 million in the same period of 2025. The increase in capital expenditures was primarily driven by strategic investments in land and buildings that will support future product innovation centers.</w:t>
      </w:r>
    </w:p>
    <w:p>
      <w:pPr>
        <w:spacing w:after="0" w:line="208" w:lineRule="exact"/>
        <w:rPr>
          <w:sz w:val="20"/>
          <w:szCs w:val="20"/>
          <w:color w:val="auto"/>
        </w:rPr>
      </w:pPr>
    </w:p>
    <w:p>
      <w:pPr>
        <w:jc w:val="both"/>
        <w:ind w:firstLine="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for the nine months ended September 30, 2026 decreased to $234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$627 million used during the same period of 2025. The change was primarily due to changes in net borrowings and repayments of long-term debt and repurchases of common stock through our share repurchase program. We repurchased $302 million of shares for the nine months ended September 30, 2026 and returned $138 million to shareholders through dividend payments.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September 30, 2026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Outstanding Borrowings</w:t>
            </w:r>
          </w:p>
        </w:tc>
      </w:tr>
      <w:tr>
        <w:trPr>
          <w:trHeight w:val="236"/>
        </w:trPr>
        <w:tc>
          <w:tcPr>
            <w:tcW w:w="9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paper: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of long-term debt:</w:t>
            </w: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9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r>
      <w:tr>
        <w:trPr>
          <w:trHeight w:val="259"/>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23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8"/>
          <w:szCs w:val="18"/>
          <w:color w:val="auto"/>
        </w:rPr>
        <w:t>We utilize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have maturities of up to 397 days from the date of issue and rank pari passu with all of our other unsecured and unsubordinated indebtedness. The net proceeds from issuances of the CP Notes are typically used for general corporate purposes. Our revolving credit facility serves as a liquidity backstop for the repayment of CP Notes outstanding under the Program. There were $455.1 million CP Notes outstanding under the Program as of September 30,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8"/>
          <w:szCs w:val="18"/>
          <w:color w:val="auto"/>
        </w:rPr>
        <w:t>On May 9, 2025, we entered into an Amendment and Restatement Agreement (the "Credit Agreement") to our existing unsecured revolving credit facility with JPMorgan Chase Bank, N.A., as administrative agent, and the other lenders party thereto. The Credit Agreement decreased our total revolving commitments from $1.1 billion to $1.0 billion with an option to increase the revolving commitments by up to $350 million at our request, subject to the terms and conditions of the Credit Agreement. The Credit Agreement also extended the maturity date of the revolving commitments from July 2026 to May 2030. We had no outstanding borrowings and $1.7 million committed to standby letters of credit as of September 30, 2026. Subject to covenant limitations, $543.2 million was available for future borrowings after taking into consideration outstanding borrowings under our Program. Availability under the Credit Agreement is reduced by borrowings under the Program. The Credit Agreement includes a subfacility for swingline loans up to $65.0 million. Maturity of the Credit Agreement may be extended by the lenders pursuant to two one-year extension options that we may request under the Credit Agreement.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4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8"/>
          <w:szCs w:val="18"/>
          <w:color w:val="auto"/>
        </w:rPr>
        <w:t>On October 16, 2025, we entered into a Term Credit Agreement (the “Term Credit Agreement”) with Wells Fargo Bank, National Association, as administrative agent, and the other lenders party thereto. We borrowed $300.0 million pursuant to the Term Credit Agreement and used the net proceeds to repay existing borrowings under the Credit Agreement. The Term Credit Agreement matures on October 16, 2027. Loans under the Term Credit Agreement bear interest at our election at a rate per annum equal to (i) a forward-looking term rate based on the secured overnight financing rate for the applicable interest period ("Term SOFR"), plus an applicable margin ranging between 0.90% and 1.025% per annum depending on our long-term unsecured debt rating, or (ii) the highest of the Wells Fargo Bank, National Association prime rate, the Federal Funds rate plus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0.50%, and Term SOFR for a one month tenor in effect on such day plus 1.00%, plus an applicable margin ranging between 0.00% and 0.025% per annum depending on our long-term unsecured debt rating.</w:t>
      </w:r>
    </w:p>
    <w:p>
      <w:pPr>
        <w:spacing w:after="0" w:line="204"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Term Credit Agreement contains customary covenants and events of default that are substantially similar to the existing covenants and events of default in our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September 2023, we issued $500.0 million of senior unsecured notes, which will mature in September 2028 (the "2028 Notes") with interest being paid semi-annually in March and September at 5.50%. In July 2020, we issued $300.0 million of senior unsecured notes, which will mature on August 1, 2027 (the "2027 Notes," and collectively with the 2028 Notes, the "Notes") with interest being paid semi-annually in February and August at 1.70% per annum. On August 1, 2025, we repaid upon maturity $300.0 million of senior unsecured notes originally issued in 2020.</w:t>
      </w:r>
    </w:p>
    <w:p>
      <w:pPr>
        <w:spacing w:after="0" w:line="208"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In the event of a credit rating downgrade below investment grade resulting from a change of control, holders of our senior unsecured notes will have the right to require us to repurchase all or a portion of the senior unsecured notes at a repurchase price equal to 101% of the principal amount of the notes, plus accrued and unpaid interest, if any. All the Notes are guaranteed, on a senior unsecured basis, by certain of our subsidiaries that guarantee indebtedness under our Credit Agreement (the "Guarantor Subsidiaries"). The indenture governing the Notes contains covenants that, among other things, limit our ability and the ability of the Guarantor Subsidiaries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We are currently in compliance with all covenant requirements.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49"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55% at September 30, 2026, as compared to 54% at December 31, 2025.</w:t>
      </w:r>
    </w:p>
    <w:p>
      <w:pPr>
        <w:spacing w:after="0" w:line="208"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As of September 30, 2026, our senior credit ratings were Baa1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0"/>
        <w:spacing w:after="0" w:line="273" w:lineRule="auto"/>
        <w:rPr>
          <w:sz w:val="20"/>
          <w:szCs w:val="20"/>
          <w:color w:val="auto"/>
        </w:rPr>
      </w:pPr>
      <w:r>
        <w:rPr>
          <w:rFonts w:ascii="Times New Roman" w:cs="Times New Roman" w:eastAsia="Times New Roman" w:hAnsi="Times New Roman"/>
          <w:sz w:val="17"/>
          <w:szCs w:val="17"/>
          <w:color w:val="auto"/>
        </w:rPr>
        <w:t>We believe our cash and cash equivalents of $43.3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$43.3 million as of September 30, 2026 was $19.8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49"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("Parent") and are unconditionally guaranteed by the Guarantor Subsidiaries (and together with Lennox International Inc., the “Obligor Group”). The Guarantor Subsidiaries are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100% owned and consolidated, all guarantees are full and unconditional, and all guarantees are joint and several.</w:t>
      </w:r>
    </w:p>
    <w:p>
      <w:pPr>
        <w:spacing w:after="0" w:line="24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consolidated revenue, and there is no intercompany revenue from the non-Guarantor Subsidiaries. This summarized financial information has been prepared and presented pursuant to Regulation S-X Rule 13-01 and is not intended to present the financial position or results of operations of the Obligor Group in accordance with U.S. GAAP.</w:t>
      </w:r>
    </w:p>
    <w:p>
      <w:pPr>
        <w:spacing w:after="0" w:line="212"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The following combined Parent and Guarantor Subsidiaries financial information is presented as of September 30, 2026 and December 31, 2025 and for the nine months ended September 30, 2026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20" w:type="dxa"/>
            <w:vAlign w:val="bottom"/>
          </w:tcPr>
          <w:p>
            <w:pPr>
              <w:spacing w:after="0"/>
              <w:rPr>
                <w:sz w:val="18"/>
                <w:szCs w:val="18"/>
                <w:color w:val="auto"/>
              </w:rPr>
            </w:pPr>
          </w:p>
        </w:tc>
        <w:tc>
          <w:tcPr>
            <w:tcW w:w="2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r>
      <w:tr>
        <w:trPr>
          <w:trHeight w:val="24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4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r>
      <w:tr>
        <w:trPr>
          <w:trHeight w:val="24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1,689.4</w:t>
            </w:r>
          </w:p>
        </w:tc>
      </w:tr>
      <w:tr>
        <w:trPr>
          <w:trHeight w:val="24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non-Guarantor Subsidiaries</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r>
      <w:tr>
        <w:trPr>
          <w:trHeight w:val="254"/>
        </w:trPr>
        <w:tc>
          <w:tcPr>
            <w:tcW w:w="6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2"/>
          </w:tcPr>
          <w:p>
            <w:pPr>
              <w:spacing w:after="0"/>
              <w:rPr>
                <w:sz w:val="22"/>
                <w:szCs w:val="22"/>
                <w:color w:val="auto"/>
              </w:rPr>
            </w:pPr>
          </w:p>
        </w:tc>
      </w:tr>
      <w:tr>
        <w:trPr>
          <w:trHeight w:val="173"/>
        </w:trPr>
        <w:tc>
          <w:tcPr>
            <w:tcW w:w="6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20" w:type="dxa"/>
            <w:vAlign w:val="bottom"/>
            <w:gridSpan w:val="2"/>
            <w:shd w:val="clear" w:color="auto" w:fill="CCEEFF"/>
          </w:tcPr>
          <w:p>
            <w:pPr>
              <w:jc w:val="center"/>
              <w:ind w:right="240"/>
              <w:spacing w:after="0" w:line="174" w:lineRule="exact"/>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36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r>
      <w:tr>
        <w:trPr>
          <w:trHeight w:val="213"/>
        </w:trPr>
        <w:tc>
          <w:tcPr>
            <w:tcW w:w="6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4,094.3</w:t>
            </w:r>
          </w:p>
        </w:tc>
        <w:tc>
          <w:tcPr>
            <w:tcW w:w="1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5,113.8</w:t>
            </w:r>
          </w:p>
        </w:tc>
      </w:tr>
      <w:tr>
        <w:trPr>
          <w:trHeight w:val="24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1,324.4</w:t>
            </w:r>
          </w:p>
        </w:tc>
      </w:tr>
      <w:tr>
        <w:trPr>
          <w:trHeight w:val="241"/>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We have no off-balance sheet arrangements that we believe may have a material current or future effect on our financial condition, liquidity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and contingencies,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9"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2025. Our exposure to market risk has not changed materially since December 31, 2025.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2026,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0"/>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Class Actions</w:t>
      </w:r>
    </w:p>
    <w:p>
      <w:pPr>
        <w:spacing w:after="0" w:line="251"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On March 20, 2026, seven HVAC equipment manufacturers (and certain of their affiliated companies), including the Company, were named as defendants in a complaint filed in the U.S. District Court for the Eastern District of Michigan on behalf of a putative class that alleges violations of Section 1 of the Sherman Antitrust Act of 1890, as amended, and certain state laws. Additional class action complaints were filed in April 2026 in the same court, based on similar allegations. The cases were consolidated under the caption In re HVAC Equipment Antitrust Litigation, No. 2:26-cv-10949 (E.D. Mich.). On July 10, 2026, the plaintiffs filed three amended, consolidated class-action complaints.</w:t>
      </w:r>
    </w:p>
    <w:p>
      <w:pPr>
        <w:spacing w:after="0" w:line="202" w:lineRule="exact"/>
        <w:rPr>
          <w:sz w:val="20"/>
          <w:szCs w:val="20"/>
          <w:color w:val="auto"/>
        </w:rPr>
      </w:pPr>
    </w:p>
    <w:p>
      <w:pPr>
        <w:jc w:val="both"/>
        <w:ind w:firstLine="240"/>
        <w:spacing w:after="0" w:line="247" w:lineRule="auto"/>
        <w:rPr>
          <w:sz w:val="20"/>
          <w:szCs w:val="20"/>
          <w:color w:val="auto"/>
        </w:rPr>
      </w:pPr>
      <w:r>
        <w:rPr>
          <w:rFonts w:ascii="Times New Roman" w:cs="Times New Roman" w:eastAsia="Times New Roman" w:hAnsi="Times New Roman"/>
          <w:sz w:val="18"/>
          <w:szCs w:val="18"/>
          <w:color w:val="auto"/>
        </w:rPr>
        <w:t>The complaints allege that the defendants conspired to fix, raise, maintain, and/or stabilize prices of HVAC equipment. The alleged class is defined as including all persons who purchased HVAC equipment in the U.S. during the period from January 1, 2020 to the present which was manufactured by one or more defendants for end use in a residential or commercial building. The complaints seek to recover an unspecified amount of damages, injunctive relief, and attorneys’ fees on behalf of the putative class.</w:t>
      </w:r>
    </w:p>
    <w:p>
      <w:pPr>
        <w:spacing w:after="0" w:line="202"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The Company disputes these allegations and plans to vigorously defend itself. At this stage of the antitrust litigation, the Company cannot reasonably estimate the range of possible loss, if any, or the timing, outcome, or consequence of this litigation. An adverse outcome in this litigation could have a material adverse impact on the Company’s business, financial position,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Claims</w:t>
      </w:r>
    </w:p>
    <w:p>
      <w:pPr>
        <w:spacing w:after="0" w:line="237" w:lineRule="exact"/>
        <w:rPr>
          <w:sz w:val="20"/>
          <w:szCs w:val="20"/>
          <w:color w:val="auto"/>
        </w:rPr>
      </w:pPr>
    </w:p>
    <w:p>
      <w:pPr>
        <w:jc w:val="both"/>
        <w:ind w:firstLine="240"/>
        <w:spacing w:after="0" w:line="254" w:lineRule="auto"/>
        <w:rPr>
          <w:sz w:val="20"/>
          <w:szCs w:val="20"/>
          <w:color w:val="auto"/>
        </w:rPr>
      </w:pPr>
      <w:r>
        <w:rPr>
          <w:rFonts w:ascii="Times New Roman" w:cs="Times New Roman" w:eastAsia="Times New Roman" w:hAnsi="Times New Roman"/>
          <w:sz w:val="18"/>
          <w:szCs w:val="18"/>
          <w:color w:val="auto"/>
        </w:rPr>
        <w:t>We are involved in a number of other claims and lawsuits incidental to the operation of our businesses. Where appropriate, insurance coverages are maintained and estimated costs are recorded for such claims and lawsuits. It is management's opinion that none of these other claims or lawsuits will have a material adverse effect, individually or in the aggregate, on our financial position, results of operations or cash flows.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2025, which could materially affect our business, financial condition or results of operations. There have been no material changes to our risk factors from those disclosed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third quarter of 2026, we purchased shares of our common stock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8"/>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fees)</w:t>
            </w:r>
          </w:p>
        </w:tc>
        <w:tc>
          <w:tcPr>
            <w:tcW w:w="2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76"/>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0" w:type="dxa"/>
            <w:vAlign w:val="bottom"/>
          </w:tcPr>
          <w:p>
            <w:pPr>
              <w:spacing w:after="0"/>
              <w:rPr>
                <w:sz w:val="1"/>
                <w:szCs w:val="1"/>
                <w:color w:val="auto"/>
              </w:rPr>
            </w:pPr>
          </w:p>
        </w:tc>
      </w:tr>
      <w:tr>
        <w:trPr>
          <w:trHeight w:val="24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445.30</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224,574</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4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386.18</w:t>
            </w:r>
          </w:p>
        </w:tc>
        <w:tc>
          <w:tcPr>
            <w:tcW w:w="220" w:type="dxa"/>
            <w:vAlign w:val="bottom"/>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129,472</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354,046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both"/>
        <w:ind w:left="400" w:hanging="153"/>
        <w:spacing w:after="0" w:line="554" w:lineRule="auto"/>
        <w:tabs>
          <w:tab w:leader="none" w:pos="403"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Since the inception of the Company’s share repurchase program in 2008, the Board has authorized share repurchases in an amount not to exceed $5.0 billion (the "Share Repurchase Plans"). The Share Repurchase Plans do not have an expiration date. See Note 5 in the Notes to the Consolidated Financial Statements for further details.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304" w:lineRule="exact"/>
        <w:rPr>
          <w:sz w:val="20"/>
          <w:szCs w:val="20"/>
          <w:color w:val="auto"/>
        </w:rPr>
      </w:pPr>
    </w:p>
    <w:p>
      <w:pPr>
        <w:jc w:val="both"/>
        <w:ind w:firstLine="240"/>
        <w:spacing w:after="0" w:line="262" w:lineRule="auto"/>
        <w:rPr>
          <w:sz w:val="20"/>
          <w:szCs w:val="20"/>
          <w:color w:val="auto"/>
        </w:rPr>
      </w:pPr>
      <w:r>
        <w:rPr>
          <w:rFonts w:ascii="Times New Roman" w:cs="Times New Roman" w:eastAsia="Times New Roman" w:hAnsi="Times New Roman"/>
          <w:sz w:val="18"/>
          <w:szCs w:val="18"/>
          <w:color w:val="auto"/>
        </w:rPr>
        <w:t>John W. Norris, III, a director, adopted a prearranged stock trading plan intended to satisfy the affirmative defense conditions of Rule 10b5-1(c) under the Exchange Act on August 20, 2026. Mr. Norris’ plan provides for the sale of up to 35,000 shares of the Company's common stock between November 19, 2026 and August 15, 2027.</w:t>
      </w:r>
    </w:p>
    <w:p>
      <w:pPr>
        <w:spacing w:after="0" w:line="203" w:lineRule="exact"/>
        <w:rPr>
          <w:sz w:val="20"/>
          <w:szCs w:val="20"/>
          <w:color w:val="auto"/>
        </w:rPr>
      </w:pPr>
    </w:p>
    <w:p>
      <w:pPr>
        <w:jc w:val="both"/>
        <w:ind w:firstLine="240"/>
        <w:spacing w:after="0" w:line="277" w:lineRule="auto"/>
        <w:rPr>
          <w:sz w:val="20"/>
          <w:szCs w:val="20"/>
          <w:color w:val="auto"/>
        </w:rPr>
      </w:pPr>
      <w:r>
        <w:rPr>
          <w:rFonts w:ascii="Times New Roman" w:cs="Times New Roman" w:eastAsia="Times New Roman" w:hAnsi="Times New Roman"/>
          <w:sz w:val="18"/>
          <w:szCs w:val="18"/>
          <w:color w:val="auto"/>
        </w:rPr>
        <w:t>This trading plan was entered into during an open insider trading window and is intended to satisfy the affirmative defense of Rule 10b5-1(c) under the Exchange Act and the Company's policies regarding transactions in the Company's securities.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6"/>
            <w:shd w:val="clear" w:color="auto" w:fill="CCEEFF"/>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6"/>
          </w:tcPr>
          <w:p>
            <w:pPr>
              <w:spacing w:after="0" w:line="201"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3"/>
        </w:trPr>
        <w:tc>
          <w:tcPr>
            <w:tcW w:w="92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4.1</w:t>
            </w:r>
          </w:p>
        </w:tc>
        <w:tc>
          <w:tcPr>
            <w:tcW w:w="10240" w:type="dxa"/>
            <w:vAlign w:val="bottom"/>
            <w:gridSpan w:val="26"/>
            <w:shd w:val="clear" w:color="auto" w:fill="CCEEFF"/>
          </w:tcPr>
          <w:p>
            <w:pPr>
              <w:spacing w:after="0" w:line="201"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Indenture, dated as of May 3, 2010, between LII and U.S. Bank National Association, as trustee (filed as Exhibit 4.3 to LII’s Post-Effective</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15"/>
            <w:shd w:val="clear" w:color="auto" w:fill="CCEEFF"/>
          </w:tcPr>
          <w:p>
            <w:pPr>
              <w:spacing w:after="0" w:line="154" w:lineRule="exact"/>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color w:val="0000FF"/>
                </w:rPr>
                <w:t>Amendment No. 1 to Registration Statement on S-3 filed on May 3, 2010 and incorporated herein by reference).</w:t>
              </w:r>
            </w:hyperlink>
          </w:p>
        </w:tc>
        <w:tc>
          <w:tcPr>
            <w:tcW w:w="1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52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6"/>
          </w:tcPr>
          <w:p>
            <w:pPr>
              <w:spacing w:after="0" w:line="201"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6"/>
            <w:shd w:val="clear" w:color="auto" w:fill="CCEEFF"/>
          </w:tcPr>
          <w:p>
            <w:pPr>
              <w:spacing w:after="0" w:line="201" w:lineRule="exact"/>
              <w:rPr>
                <w:rFonts w:ascii="Times New Roman" w:cs="Times New Roman" w:eastAsia="Times New Roman" w:hAnsi="Times New Roman"/>
                <w:sz w:val="18"/>
                <w:szCs w:val="18"/>
                <w:color w:val="0000FF"/>
                <w:w w:val="98"/>
              </w:rPr>
            </w:pPr>
            <w:hyperlink r:id="rId54">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26"/>
          </w:tcPr>
          <w:p>
            <w:pPr>
              <w:spacing w:after="0" w:line="201"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3"/>
        </w:trPr>
        <w:tc>
          <w:tcPr>
            <w:tcW w:w="92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gridSpan w:val="23"/>
          </w:tcPr>
          <w:p>
            <w:pPr>
              <w:spacing w:after="0" w:line="167"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February 15, 2022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6"/>
            <w:shd w:val="clear" w:color="auto" w:fill="CCEEFF"/>
          </w:tcPr>
          <w:p>
            <w:pPr>
              <w:spacing w:after="0" w:line="201"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Eleventh Supplemental Indenture, dated as of September 15, 2023, among LII, the guarantors party thereto and U.S. Bank Trust Company,</w:t>
              </w:r>
            </w:hyperlink>
          </w:p>
        </w:tc>
      </w:tr>
      <w:tr>
        <w:trPr>
          <w:trHeight w:val="20"/>
        </w:trPr>
        <w:tc>
          <w:tcPr>
            <w:tcW w:w="92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53"/>
        </w:trPr>
        <w:tc>
          <w:tcPr>
            <w:tcW w:w="920" w:type="dxa"/>
            <w:vAlign w:val="bottom"/>
            <w:shd w:val="clear" w:color="auto" w:fill="CCEEFF"/>
          </w:tcPr>
          <w:p>
            <w:pPr>
              <w:spacing w:after="0"/>
              <w:rPr>
                <w:sz w:val="13"/>
                <w:szCs w:val="13"/>
                <w:color w:val="auto"/>
              </w:rPr>
            </w:pPr>
          </w:p>
        </w:tc>
        <w:tc>
          <w:tcPr>
            <w:tcW w:w="10240" w:type="dxa"/>
            <w:vAlign w:val="bottom"/>
            <w:gridSpan w:val="26"/>
            <w:shd w:val="clear" w:color="auto" w:fill="CCEEFF"/>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National Association, as trustee (filed as Exhibit 4.2 to LII's Current Report on Form 8-K filed on September 15, 2023 and incorporated herein</w:t>
              </w:r>
            </w:hyperlink>
          </w:p>
        </w:tc>
      </w:tr>
      <w:tr>
        <w:trPr>
          <w:trHeight w:val="167"/>
        </w:trPr>
        <w:tc>
          <w:tcPr>
            <w:tcW w:w="920" w:type="dxa"/>
            <w:vAlign w:val="bottom"/>
            <w:tcBorders>
              <w:top w:val="single" w:sz="8" w:color="CCEEFF"/>
            </w:tcBorders>
            <w:shd w:val="clear" w:color="auto" w:fill="CCEEFF"/>
          </w:tcPr>
          <w:p>
            <w:pPr>
              <w:spacing w:after="0"/>
              <w:rPr>
                <w:sz w:val="14"/>
                <w:szCs w:val="14"/>
                <w:color w:val="auto"/>
              </w:rPr>
            </w:pPr>
          </w:p>
        </w:tc>
        <w:tc>
          <w:tcPr>
            <w:tcW w:w="10200" w:type="dxa"/>
            <w:vAlign w:val="bottom"/>
            <w:tcBorders>
              <w:top w:val="single" w:sz="8" w:color="0000FF"/>
            </w:tcBorders>
            <w:gridSpan w:val="24"/>
            <w:shd w:val="clear" w:color="auto" w:fill="CCEEFF"/>
          </w:tcPr>
          <w:p>
            <w:pPr>
              <w:spacing w:after="0" w:line="167"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by reference).</w:t>
              </w:r>
            </w:hyperlink>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6"/>
          </w:tcPr>
          <w:p>
            <w:pPr>
              <w:spacing w:after="0" w:line="201"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5.500% Notes due 2028 (filed as Exhibit A in Exhibit 4.2 to LII's Current Report on Form 8-K filed on September 15, 2023 and</w:t>
              </w:r>
            </w:hyperlink>
          </w:p>
        </w:tc>
      </w:tr>
      <w:tr>
        <w:trPr>
          <w:trHeight w:val="153"/>
        </w:trPr>
        <w:tc>
          <w:tcPr>
            <w:tcW w:w="920" w:type="dxa"/>
            <w:vAlign w:val="bottom"/>
          </w:tcPr>
          <w:p>
            <w:pPr>
              <w:spacing w:after="0"/>
              <w:rPr>
                <w:sz w:val="13"/>
                <w:szCs w:val="13"/>
                <w:color w:val="auto"/>
              </w:rPr>
            </w:pPr>
          </w:p>
        </w:tc>
        <w:tc>
          <w:tcPr>
            <w:tcW w:w="972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incorporated herein by reference).</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6"/>
            <w:shd w:val="clear" w:color="auto" w:fill="CCEEFF"/>
          </w:tcPr>
          <w:p>
            <w:pPr>
              <w:spacing w:after="0" w:line="201"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Twelfth Supplemental Indenture, dated as of April 30, 2026, among LII, the guarantors party thereto and U.S. Bank Trust Company, National</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Association, as trustee (filed as Exhibit 4.7 to LII's Quarterly Report on Form 10-Q filed on July 29, 2026 and incorporated herein by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167"/>
        </w:trPr>
        <w:tc>
          <w:tcPr>
            <w:tcW w:w="920" w:type="dxa"/>
            <w:vAlign w:val="bottom"/>
            <w:tcBorders>
              <w:top w:val="single" w:sz="8" w:color="CCEEFF"/>
            </w:tcBorders>
            <w:shd w:val="clear" w:color="auto" w:fill="CCEEFF"/>
          </w:tcPr>
          <w:p>
            <w:pPr>
              <w:spacing w:after="0"/>
              <w:rPr>
                <w:sz w:val="14"/>
                <w:szCs w:val="14"/>
                <w:color w:val="auto"/>
              </w:rPr>
            </w:pPr>
          </w:p>
        </w:tc>
        <w:tc>
          <w:tcPr>
            <w:tcW w:w="9480" w:type="dxa"/>
            <w:vAlign w:val="bottom"/>
            <w:tcBorders>
              <w:top w:val="single" w:sz="8" w:color="0000FF"/>
            </w:tcBorders>
            <w:gridSpan w:val="11"/>
            <w:shd w:val="clear" w:color="auto" w:fill="CCEEFF"/>
          </w:tcPr>
          <w:p>
            <w:pPr>
              <w:spacing w:after="0" w:line="167"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reference).</w:t>
              </w:r>
            </w:hyperlink>
          </w:p>
        </w:tc>
        <w:tc>
          <w:tcPr>
            <w:tcW w:w="2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9740" w:type="dxa"/>
            <w:vAlign w:val="bottom"/>
            <w:tcBorders>
              <w:bottom w:val="single" w:sz="8" w:color="0000FF"/>
            </w:tcBorders>
            <w:gridSpan w:val="13"/>
          </w:tcPr>
          <w:p>
            <w:pPr>
              <w:spacing w:after="0" w:line="201"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Form of Long-Term Incentive Award Agreement for U.S. Employees - Vice President and Above (for use under the LII 2019 Equity and</w:t>
              </w:r>
            </w:hyperlink>
          </w:p>
        </w:tc>
        <w:tc>
          <w:tcPr>
            <w:tcW w:w="500" w:type="dxa"/>
            <w:vAlign w:val="bottom"/>
            <w:gridSpan w:val="13"/>
          </w:tcPr>
          <w:p>
            <w:pPr>
              <w:spacing w:after="0"/>
              <w:rPr>
                <w:sz w:val="17"/>
                <w:szCs w:val="17"/>
                <w:color w:val="auto"/>
              </w:rPr>
            </w:pPr>
          </w:p>
        </w:tc>
      </w:tr>
      <w:tr>
        <w:trPr>
          <w:trHeight w:val="173"/>
        </w:trPr>
        <w:tc>
          <w:tcPr>
            <w:tcW w:w="920" w:type="dxa"/>
            <w:vAlign w:val="bottom"/>
          </w:tcPr>
          <w:p>
            <w:pPr>
              <w:spacing w:after="0"/>
              <w:rPr>
                <w:sz w:val="15"/>
                <w:szCs w:val="15"/>
                <w:color w:val="auto"/>
              </w:rPr>
            </w:pPr>
          </w:p>
        </w:tc>
        <w:tc>
          <w:tcPr>
            <w:tcW w:w="10240" w:type="dxa"/>
            <w:vAlign w:val="bottom"/>
            <w:gridSpan w:val="26"/>
          </w:tcPr>
          <w:p>
            <w:pPr>
              <w:spacing w:after="0" w:line="154"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Incentive Plan) (Sept. 2026 version) (filed as Exhibit 10.1 to LII's Current Report on Form 8-K filed on September 18, 2026 and incorporated</w:t>
              </w:r>
            </w:hyperlink>
          </w:p>
        </w:tc>
      </w:tr>
      <w:tr>
        <w:trPr>
          <w:trHeight w:val="147"/>
        </w:trPr>
        <w:tc>
          <w:tcPr>
            <w:tcW w:w="920" w:type="dxa"/>
            <w:vAlign w:val="bottom"/>
          </w:tcPr>
          <w:p>
            <w:pPr>
              <w:spacing w:after="0"/>
              <w:rPr>
                <w:sz w:val="12"/>
                <w:szCs w:val="12"/>
                <w:color w:val="auto"/>
              </w:rPr>
            </w:pPr>
          </w:p>
        </w:tc>
        <w:tc>
          <w:tcPr>
            <w:tcW w:w="1540" w:type="dxa"/>
            <w:vAlign w:val="bottom"/>
            <w:tcBorders>
              <w:top w:val="single" w:sz="8" w:color="0000FF"/>
            </w:tcBorders>
            <w:gridSpan w:val="4"/>
          </w:tcPr>
          <w:p>
            <w:pPr>
              <w:spacing w:after="0" w:line="147" w:lineRule="exact"/>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herein by reference).</w:t>
              </w:r>
            </w:hyperlink>
          </w:p>
        </w:tc>
        <w:tc>
          <w:tcPr>
            <w:tcW w:w="880" w:type="dxa"/>
            <w:vAlign w:val="bottom"/>
            <w:tcBorders>
              <w:top w:val="single" w:sz="8" w:color="0000FF"/>
            </w:tcBorders>
          </w:tcPr>
          <w:p>
            <w:pPr>
              <w:spacing w:after="0"/>
              <w:rPr>
                <w:sz w:val="12"/>
                <w:szCs w:val="12"/>
                <w:color w:val="auto"/>
              </w:rPr>
            </w:pPr>
          </w:p>
        </w:tc>
        <w:tc>
          <w:tcPr>
            <w:tcW w:w="13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3520" w:type="dxa"/>
            <w:vAlign w:val="bottom"/>
            <w:tcBorders>
              <w:top w:val="single" w:sz="8" w:color="0000FF"/>
            </w:tcBorders>
          </w:tcPr>
          <w:p>
            <w:pPr>
              <w:spacing w:after="0"/>
              <w:rPr>
                <w:sz w:val="12"/>
                <w:szCs w:val="12"/>
                <w:color w:val="auto"/>
              </w:rPr>
            </w:pPr>
          </w:p>
        </w:tc>
        <w:tc>
          <w:tcPr>
            <w:tcW w:w="15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6"/>
            <w:shd w:val="clear" w:color="auto" w:fill="CCEEFF"/>
          </w:tcPr>
          <w:p>
            <w:pPr>
              <w:spacing w:after="0" w:line="201"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List of Guarantor Subsidiaries (filed as Exhibit 22.1 to LII's Quarterly Report on Form 10-Q filed on July 29, 2026 and incorporated herein by</w:t>
              </w:r>
            </w:hyperlink>
          </w:p>
        </w:tc>
      </w:tr>
      <w:tr>
        <w:trPr>
          <w:trHeight w:val="153"/>
        </w:trPr>
        <w:tc>
          <w:tcPr>
            <w:tcW w:w="92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reference).</w:t>
              </w:r>
            </w:hyperlink>
          </w:p>
        </w:tc>
        <w:tc>
          <w:tcPr>
            <w:tcW w:w="120" w:type="dxa"/>
            <w:vAlign w:val="bottom"/>
            <w:tcBorders>
              <w:top w:val="single" w:sz="8" w:color="CCEEFF"/>
            </w:tcBorders>
            <w:gridSpan w:val="6"/>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5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6"/>
          </w:tcPr>
          <w:p>
            <w:pPr>
              <w:spacing w:after="0" w:line="201" w:lineRule="exact"/>
              <w:rPr>
                <w:sz w:val="20"/>
                <w:szCs w:val="20"/>
                <w:color w:val="auto"/>
              </w:rPr>
            </w:pPr>
            <w:r>
              <w:rPr>
                <w:rFonts w:ascii="Times New Roman" w:cs="Times New Roman" w:eastAsia="Times New Roman" w:hAnsi="Times New Roman"/>
                <w:sz w:val="18"/>
                <w:szCs w:val="18"/>
                <w:color w:val="0000FF"/>
              </w:rPr>
              <w:t>Certification of the principal executive officer (filed herewith).</w:t>
            </w: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9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6"/>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32.1</w:t>
            </w:r>
          </w:p>
        </w:tc>
        <w:tc>
          <w:tcPr>
            <w:tcW w:w="10240" w:type="dxa"/>
            <w:vAlign w:val="bottom"/>
            <w:gridSpan w:val="26"/>
          </w:tcPr>
          <w:p>
            <w:pPr>
              <w:spacing w:after="0" w:line="201" w:lineRule="exact"/>
              <w:rPr>
                <w:sz w:val="20"/>
                <w:szCs w:val="20"/>
                <w:color w:val="auto"/>
              </w:rPr>
            </w:pPr>
            <w:r>
              <w:rPr>
                <w:rFonts w:ascii="Times New Roman" w:cs="Times New Roman" w:eastAsia="Times New Roman" w:hAnsi="Times New Roman"/>
                <w:sz w:val="18"/>
                <w:szCs w:val="18"/>
                <w:color w:val="0000FF"/>
              </w:rPr>
              <w:t>Certification of the principal executive officer and the principal financial officer pursuant to 18 U.S.C. Section 1350 (furnished herewith).</w:t>
            </w:r>
          </w:p>
        </w:tc>
      </w:tr>
      <w:tr>
        <w:trPr>
          <w:trHeight w:val="20"/>
        </w:trPr>
        <w:tc>
          <w:tcPr>
            <w:tcW w:w="9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INS Inline XBRL Instance Document</w:t>
            </w:r>
          </w:p>
        </w:tc>
      </w:tr>
      <w:tr>
        <w:trPr>
          <w:trHeight w:val="24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4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4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4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4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0</wp:posOffset>
            </wp:positionV>
            <wp:extent cx="7044055" cy="152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044055" cy="152400"/>
                    </a:xfrm>
                    <a:prstGeom prst="rect">
                      <a:avLst/>
                    </a:prstGeom>
                    <a:noFill/>
                  </pic:spPr>
                </pic:pic>
              </a:graphicData>
            </a:graphic>
          </wp:anchor>
        </w:drawing>
      </w:r>
    </w:p>
    <w:p>
      <w:pPr>
        <w:ind w:left="1160" w:hanging="895"/>
        <w:spacing w:after="0"/>
        <w:tabs>
          <w:tab w:leader="none" w:pos="1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78" w:right="239" w:bottom="1440" w:gutter="0" w:footer="0" w:header="0"/>
        </w:sectPr>
      </w:pPr>
    </w:p>
    <w:bookmarkStart w:id="37" w:name="page38"/>
    <w:bookmarkEnd w:id="37"/>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P. Quenzer</w:t>
      </w:r>
    </w:p>
    <w:p>
      <w:pPr>
        <w:spacing w:after="0" w:line="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00"/>
          </w:cols>
          <w:pgMar w:left="320" w:top="1118" w:right="11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3"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200" w:hanging="313"/>
        <w:spacing w:after="0" w:line="262" w:lineRule="auto"/>
        <w:tabs>
          <w:tab w:leader="none" w:pos="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500" w:hanging="313"/>
        <w:spacing w:after="0" w:line="262"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660" w:hanging="313"/>
        <w:spacing w:after="0" w:line="307" w:lineRule="auto"/>
        <w:tabs>
          <w:tab w:leader="none" w:pos="95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960" w:right="180" w:hanging="313"/>
        <w:spacing w:after="0" w:line="262"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960" w:right="100" w:hanging="313"/>
        <w:spacing w:after="0" w:line="277" w:lineRule="auto"/>
        <w:tabs>
          <w:tab w:leader="none" w:pos="9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960" w:right="40" w:hanging="313"/>
        <w:spacing w:after="0" w:line="277"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Alok Maskara</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P. Quenzer, certify that:</w:t>
      </w:r>
    </w:p>
    <w:p>
      <w:pPr>
        <w:spacing w:after="0" w:line="113" w:lineRule="exact"/>
        <w:rPr>
          <w:sz w:val="20"/>
          <w:szCs w:val="20"/>
          <w:color w:val="auto"/>
        </w:rPr>
      </w:pPr>
    </w:p>
    <w:p>
      <w:pPr>
        <w:ind w:left="640" w:hanging="633"/>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280" w:right="60" w:hanging="633"/>
        <w:spacing w:after="0" w:line="262" w:lineRule="auto"/>
        <w:tabs>
          <w:tab w:leader="none" w:pos="127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280" w:right="180" w:hanging="633"/>
        <w:spacing w:after="0" w:line="262"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280" w:right="340" w:hanging="633"/>
        <w:spacing w:after="0" w:line="307" w:lineRule="auto"/>
        <w:tabs>
          <w:tab w:leader="none" w:pos="127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Times New Roman" w:cs="Times New Roman" w:eastAsia="Times New Roman" w:hAnsi="Times New Roman"/>
          <w:sz w:val="17"/>
          <w:szCs w:val="17"/>
          <w:color w:val="auto"/>
        </w:rPr>
      </w:pPr>
    </w:p>
    <w:p>
      <w:pPr>
        <w:ind w:left="1280" w:right="40" w:hanging="633"/>
        <w:spacing w:after="0" w:line="262"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640" w:right="220" w:hanging="633"/>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8"/>
          <w:szCs w:val="18"/>
          <w:color w:val="auto"/>
        </w:rPr>
      </w:pPr>
    </w:p>
    <w:p>
      <w:pPr>
        <w:ind w:left="1280" w:right="600" w:hanging="633"/>
        <w:spacing w:after="0" w:line="307" w:lineRule="auto"/>
        <w:tabs>
          <w:tab w:leader="none" w:pos="127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Times New Roman" w:cs="Times New Roman" w:eastAsia="Times New Roman" w:hAnsi="Times New Roman"/>
          <w:sz w:val="17"/>
          <w:szCs w:val="17"/>
          <w:color w:val="auto"/>
        </w:rPr>
      </w:pPr>
    </w:p>
    <w:p>
      <w:pPr>
        <w:ind w:left="1280" w:right="280" w:hanging="633"/>
        <w:spacing w:after="0" w:line="277"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2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15875</wp:posOffset>
            </wp:positionV>
            <wp:extent cx="27876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September 30, 2026 as filed with the Securities and Exchange Commission on the date hereof (the “Report”), each of the undersigned, Alok Maskara, Chief Executive Officer of the Company, and Michael P. Quenzer, Chief Financial Officer of the Company, certifies, pursuant to 18 U.S.C. Section 1350, as adopted pursuant to section 906 of the Sarbanes-Oxley Act of 2002, that to his or her knowledge:</w:t>
      </w:r>
    </w:p>
    <w:p>
      <w:pPr>
        <w:spacing w:after="0" w:line="127"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78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77876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P. Quenzer</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167"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972"/>
    </w:lvl>
  </w:abstractNum>
  <w:abstractNum w:abstractNumId="3">
    <w:nsid w:val="1190CDE7"/>
    <w:multiLevelType w:val="hybridMultilevel"/>
    <w:lvl w:ilvl="0">
      <w:lvlJc w:val="left"/>
      <w:lvlText w:val="(%1)"/>
      <w:numFmt w:val="decimal"/>
      <w:start w:val="1"/>
    </w:lvl>
    <w:lvl w:ilvl="1">
      <w:lvlJc w:val="left"/>
      <w:lvlText w:val="•"/>
      <w:numFmt w:val="bullet"/>
      <w:start w:val="1"/>
    </w:lvl>
  </w:abstractNum>
  <w:abstractNum w:abstractNumId="4">
    <w:nsid w:val="66EF438D"/>
    <w:multiLevelType w:val="hybridMultilevel"/>
    <w:lvl w:ilvl="0">
      <w:lvlJc w:val="left"/>
      <w:lvlText w:val="(%1)"/>
      <w:numFmt w:val="decimal"/>
      <w:start w:val="1"/>
    </w:lvl>
    <w:lvl w:ilvl="1">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51" Type="http://schemas.openxmlformats.org/officeDocument/2006/relationships/hyperlink" Target="https://www.sec.gov/Archives/edgar/data/1069202/000162828023004257/lii-ex31_20221231x10k.htm" TargetMode="External"/><Relationship Id="rId52" Type="http://schemas.openxmlformats.org/officeDocument/2006/relationships/hyperlink" Target="https://www.sec.gov/Archives/edgar/data/1069202/000162828023004257/lii-ex32_20221231x10k.htm" TargetMode="External"/><Relationship Id="rId53" Type="http://schemas.openxmlformats.org/officeDocument/2006/relationships/hyperlink" Target="https://www.sec.gov/Archives/edgar/data/1017609/000095012310042399/d72548exv4w3.htm" TargetMode="External"/><Relationship Id="rId54" Type="http://schemas.openxmlformats.org/officeDocument/2006/relationships/hyperlink" Target="https://www.sec.gov/Archives/edgar/data/1069202/000119312520203588/d22651dex42.htm" TargetMode="External"/><Relationship Id="rId55" Type="http://schemas.openxmlformats.org/officeDocument/2006/relationships/hyperlink" Target="https://www.sec.gov/Archives/edgar/data/1069202/000162828022002664/lii-ex47_20211231x10k.htm" TargetMode="External"/><Relationship Id="rId56" Type="http://schemas.openxmlformats.org/officeDocument/2006/relationships/hyperlink" Target="https://www.sec.gov/Archives/edgar/data/1069202/000162828023032385/exhibit42eleventhsupplemen.htm" TargetMode="External"/><Relationship Id="rId57" Type="http://schemas.openxmlformats.org/officeDocument/2006/relationships/hyperlink" Target="https://www.sec.gov/Archives/edgar/data/1069202/000106920226000087/lii-ex47_2026630x10q.htm" TargetMode="External"/><Relationship Id="rId58" Type="http://schemas.openxmlformats.org/officeDocument/2006/relationships/hyperlink" Target="https://www.sec.gov/Archives/edgar/data/1069202/000106920226000091/ex101usvplti.htm" TargetMode="External"/><Relationship Id="rId59" Type="http://schemas.openxmlformats.org/officeDocument/2006/relationships/hyperlink" Target="https://www.sec.gov/Archives/edgar/data/1069202/000106920226000087/lii-ex221_2026063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2026-10-28T15:00:38Z</dcterms:created>
  <dcterms:modified xsi:type="dcterms:W3CDTF">2026-10-28T15:00:38Z</dcterms:modified>
</cp:coreProperties>
</file>